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3FF" w:rsidRDefault="007253FF" w:rsidP="007253FF">
      <w:pPr>
        <w:spacing w:after="0" w:line="240" w:lineRule="auto"/>
        <w:ind w:left="-321"/>
        <w:rPr>
          <w:rFonts w:ascii="Times New Roman" w:hAnsi="Times New Roman"/>
          <w:b/>
          <w:sz w:val="24"/>
          <w:szCs w:val="24"/>
        </w:rPr>
      </w:pPr>
      <w:r>
        <w:rPr>
          <w:rFonts w:ascii="Times New Roman" w:hAnsi="Times New Roman"/>
          <w:b/>
          <w:noProof/>
          <w:sz w:val="24"/>
          <w:szCs w:val="24"/>
        </w:rPr>
        <w:t xml:space="preserve">UNIVERSITE PRIVEE DE OUAGADOUGOU                          </w:t>
      </w:r>
      <w:r>
        <w:rPr>
          <w:rFonts w:ascii="Times New Roman" w:hAnsi="Times New Roman"/>
          <w:noProof/>
          <w:sz w:val="24"/>
          <w:szCs w:val="24"/>
        </w:rPr>
        <w:t xml:space="preserve">Année académique 2015-2016                                                 </w:t>
      </w:r>
    </w:p>
    <w:p w:rsidR="007253FF" w:rsidRDefault="007253FF" w:rsidP="007253FF">
      <w:pPr>
        <w:spacing w:after="0" w:line="240" w:lineRule="auto"/>
        <w:ind w:left="-321"/>
        <w:rPr>
          <w:rFonts w:ascii="Times New Roman" w:hAnsi="Times New Roman"/>
          <w:b/>
          <w:sz w:val="24"/>
          <w:szCs w:val="24"/>
        </w:rPr>
      </w:pPr>
      <w:r>
        <w:rPr>
          <w:rFonts w:ascii="Times New Roman" w:hAnsi="Times New Roman"/>
          <w:b/>
          <w:sz w:val="24"/>
          <w:szCs w:val="24"/>
        </w:rPr>
        <w:t>……………………………………………………</w:t>
      </w:r>
    </w:p>
    <w:p w:rsidR="007253FF" w:rsidRDefault="007253FF" w:rsidP="007253FF">
      <w:pPr>
        <w:spacing w:after="0" w:line="240" w:lineRule="auto"/>
        <w:ind w:left="-993"/>
        <w:rPr>
          <w:rFonts w:ascii="Times New Roman" w:hAnsi="Times New Roman"/>
          <w:b/>
          <w:noProof/>
          <w:sz w:val="24"/>
          <w:szCs w:val="24"/>
        </w:rPr>
      </w:pPr>
      <w:r>
        <w:rPr>
          <w:rFonts w:ascii="Times New Roman" w:hAnsi="Times New Roman"/>
          <w:b/>
          <w:sz w:val="24"/>
          <w:szCs w:val="24"/>
        </w:rPr>
        <w:t xml:space="preserve">              </w:t>
      </w:r>
      <w:r>
        <w:rPr>
          <w:rFonts w:ascii="Times New Roman" w:hAnsi="Times New Roman"/>
          <w:b/>
          <w:noProof/>
          <w:sz w:val="24"/>
          <w:szCs w:val="24"/>
        </w:rPr>
        <w:t>UFR/SCIENCES JURIDIQUES POLITIQUES</w:t>
      </w:r>
    </w:p>
    <w:p w:rsidR="007253FF" w:rsidRDefault="007253FF" w:rsidP="007253FF">
      <w:pPr>
        <w:spacing w:after="0" w:line="240" w:lineRule="auto"/>
        <w:ind w:left="-993"/>
        <w:rPr>
          <w:rFonts w:ascii="Times New Roman" w:hAnsi="Times New Roman"/>
          <w:b/>
          <w:sz w:val="24"/>
          <w:szCs w:val="24"/>
        </w:rPr>
      </w:pPr>
      <w:r>
        <w:rPr>
          <w:rFonts w:ascii="Times New Roman" w:hAnsi="Times New Roman"/>
          <w:b/>
          <w:noProof/>
          <w:sz w:val="24"/>
          <w:szCs w:val="24"/>
        </w:rPr>
        <w:t xml:space="preserve">                                ET  ADMINISTRATIVES</w:t>
      </w:r>
    </w:p>
    <w:p w:rsidR="007253FF" w:rsidRDefault="007253FF" w:rsidP="007253FF">
      <w:pPr>
        <w:spacing w:after="0" w:line="240" w:lineRule="auto"/>
        <w:ind w:left="-993"/>
        <w:rPr>
          <w:rFonts w:ascii="Times New Roman" w:hAnsi="Times New Roman"/>
          <w:b/>
          <w:noProof/>
          <w:sz w:val="24"/>
          <w:szCs w:val="24"/>
        </w:rPr>
      </w:pPr>
      <w:r>
        <w:rPr>
          <w:rFonts w:ascii="Times New Roman" w:hAnsi="Times New Roman"/>
          <w:b/>
          <w:noProof/>
          <w:sz w:val="24"/>
          <w:szCs w:val="24"/>
        </w:rPr>
        <w:t xml:space="preserve">                                     </w:t>
      </w:r>
    </w:p>
    <w:p w:rsidR="007253FF" w:rsidRDefault="007253FF" w:rsidP="007253FF">
      <w:pPr>
        <w:spacing w:after="0" w:line="240" w:lineRule="auto"/>
        <w:ind w:left="-993"/>
        <w:rPr>
          <w:rFonts w:ascii="Times New Roman" w:hAnsi="Times New Roman"/>
          <w:b/>
          <w:noProof/>
          <w:sz w:val="24"/>
          <w:szCs w:val="24"/>
        </w:rPr>
      </w:pPr>
    </w:p>
    <w:p w:rsidR="007253FF" w:rsidRDefault="007253FF" w:rsidP="007253FF">
      <w:pPr>
        <w:spacing w:after="0"/>
        <w:jc w:val="center"/>
        <w:rPr>
          <w:rFonts w:ascii="Times New Roman" w:hAnsi="Times New Roman"/>
          <w:b/>
          <w:noProof/>
          <w:sz w:val="24"/>
          <w:szCs w:val="24"/>
          <w:u w:val="single"/>
        </w:rPr>
      </w:pPr>
      <w:r>
        <w:rPr>
          <w:rFonts w:ascii="Times New Roman" w:hAnsi="Times New Roman"/>
          <w:b/>
          <w:noProof/>
          <w:sz w:val="24"/>
          <w:szCs w:val="24"/>
        </w:rPr>
        <w:t>TRAVAUX DIRIGES</w:t>
      </w:r>
    </w:p>
    <w:p w:rsidR="007253FF" w:rsidRPr="00B04541" w:rsidRDefault="007253FF" w:rsidP="007253FF">
      <w:pPr>
        <w:spacing w:after="0"/>
        <w:ind w:firstLine="708"/>
        <w:jc w:val="center"/>
        <w:rPr>
          <w:rFonts w:ascii="Times New Roman" w:hAnsi="Times New Roman"/>
          <w:b/>
          <w:sz w:val="24"/>
          <w:szCs w:val="24"/>
          <w:u w:val="single"/>
          <w:lang w:val="fr-CH"/>
        </w:rPr>
      </w:pPr>
      <w:r w:rsidRPr="00B04541">
        <w:rPr>
          <w:rFonts w:ascii="Times New Roman" w:hAnsi="Times New Roman"/>
          <w:b/>
          <w:noProof/>
          <w:sz w:val="24"/>
          <w:szCs w:val="24"/>
        </w:rPr>
        <w:t xml:space="preserve">Matière : </w:t>
      </w:r>
      <w:r w:rsidRPr="00B04541">
        <w:rPr>
          <w:rFonts w:ascii="Times New Roman" w:hAnsi="Times New Roman"/>
          <w:b/>
          <w:sz w:val="24"/>
          <w:szCs w:val="24"/>
          <w:u w:val="single"/>
          <w:lang w:val="fr-CH"/>
        </w:rPr>
        <w:t>DE DROIT INTERNATIONAL PUBLIC</w:t>
      </w:r>
    </w:p>
    <w:p w:rsidR="007253FF" w:rsidRDefault="007253FF" w:rsidP="007253FF">
      <w:pPr>
        <w:spacing w:after="0"/>
        <w:jc w:val="center"/>
        <w:rPr>
          <w:rFonts w:ascii="Times New Roman" w:hAnsi="Times New Roman"/>
          <w:b/>
          <w:noProof/>
          <w:sz w:val="24"/>
          <w:szCs w:val="24"/>
        </w:rPr>
      </w:pPr>
      <w:r>
        <w:rPr>
          <w:rFonts w:ascii="Times New Roman" w:hAnsi="Times New Roman"/>
          <w:b/>
          <w:noProof/>
          <w:sz w:val="24"/>
          <w:szCs w:val="24"/>
        </w:rPr>
        <w:t>Niveau : S4/L2/SJPA</w:t>
      </w:r>
    </w:p>
    <w:p w:rsidR="007253FF" w:rsidRDefault="007253FF" w:rsidP="007253FF">
      <w:pPr>
        <w:spacing w:after="0"/>
        <w:jc w:val="center"/>
        <w:rPr>
          <w:rFonts w:ascii="Times New Roman" w:hAnsi="Times New Roman"/>
          <w:b/>
          <w:noProof/>
          <w:sz w:val="24"/>
          <w:szCs w:val="24"/>
        </w:rPr>
      </w:pPr>
      <w:r>
        <w:rPr>
          <w:rFonts w:ascii="Times New Roman" w:hAnsi="Times New Roman"/>
          <w:b/>
          <w:noProof/>
          <w:sz w:val="24"/>
          <w:szCs w:val="24"/>
        </w:rPr>
        <w:t xml:space="preserve">Chargé du cours : </w:t>
      </w:r>
      <w:r>
        <w:rPr>
          <w:rFonts w:ascii="Times New Roman" w:hAnsi="Times New Roman"/>
          <w:b/>
          <w:sz w:val="20"/>
          <w:szCs w:val="20"/>
          <w:lang w:val="fr-CH"/>
        </w:rPr>
        <w:t>Pr. SOMA Abdoulaye</w:t>
      </w:r>
      <w:r>
        <w:rPr>
          <w:rFonts w:ascii="Times New Roman" w:hAnsi="Times New Roman"/>
          <w:b/>
          <w:noProof/>
          <w:sz w:val="24"/>
          <w:szCs w:val="24"/>
          <w:lang w:val="fr-CH"/>
        </w:rPr>
        <w:t xml:space="preserve"> </w:t>
      </w:r>
    </w:p>
    <w:p w:rsidR="007253FF" w:rsidRDefault="007253FF" w:rsidP="007253FF">
      <w:pPr>
        <w:spacing w:after="0"/>
        <w:jc w:val="center"/>
        <w:rPr>
          <w:rFonts w:ascii="Times New Roman" w:hAnsi="Times New Roman"/>
          <w:b/>
          <w:sz w:val="20"/>
          <w:szCs w:val="20"/>
        </w:rPr>
      </w:pPr>
      <w:r>
        <w:rPr>
          <w:rFonts w:ascii="Times New Roman" w:hAnsi="Times New Roman"/>
          <w:b/>
          <w:noProof/>
          <w:sz w:val="24"/>
          <w:szCs w:val="24"/>
        </w:rPr>
        <w:t xml:space="preserve">Chargé des TD : </w:t>
      </w:r>
      <w:r w:rsidRPr="00506089">
        <w:rPr>
          <w:rFonts w:ascii="Times New Roman" w:hAnsi="Times New Roman"/>
          <w:b/>
          <w:sz w:val="24"/>
          <w:szCs w:val="24"/>
          <w:lang w:val="fr-CH"/>
        </w:rPr>
        <w:t>NAGALO Yda Alexis</w:t>
      </w:r>
    </w:p>
    <w:p w:rsidR="007253FF" w:rsidRDefault="007253FF" w:rsidP="007253FF">
      <w:pPr>
        <w:spacing w:after="0"/>
        <w:jc w:val="both"/>
        <w:rPr>
          <w:rFonts w:ascii="Times New Roman" w:hAnsi="Times New Roman"/>
          <w:b/>
          <w:sz w:val="20"/>
          <w:szCs w:val="20"/>
          <w:lang w:val="fr-CH"/>
        </w:rPr>
      </w:pPr>
    </w:p>
    <w:p w:rsidR="00506089" w:rsidRPr="00506089" w:rsidRDefault="00506089" w:rsidP="00506089">
      <w:pPr>
        <w:spacing w:after="0"/>
        <w:ind w:left="1416" w:firstLine="708"/>
        <w:jc w:val="both"/>
        <w:rPr>
          <w:rFonts w:ascii="Times New Roman" w:eastAsia="Calibri" w:hAnsi="Times New Roman" w:cs="Times New Roman"/>
          <w:b/>
          <w:sz w:val="24"/>
          <w:szCs w:val="24"/>
          <w:u w:val="single"/>
          <w:lang w:val="fr-CH"/>
        </w:rPr>
      </w:pPr>
    </w:p>
    <w:p w:rsidR="00506089" w:rsidRPr="00506089" w:rsidRDefault="00506089" w:rsidP="00506089">
      <w:pPr>
        <w:spacing w:after="0"/>
        <w:ind w:left="2124" w:firstLine="708"/>
        <w:jc w:val="both"/>
        <w:rPr>
          <w:rFonts w:ascii="Times New Roman" w:eastAsia="Calibri" w:hAnsi="Times New Roman" w:cs="Times New Roman"/>
          <w:b/>
          <w:sz w:val="24"/>
          <w:szCs w:val="24"/>
          <w:u w:val="single"/>
          <w:lang w:val="fr-CH"/>
        </w:rPr>
      </w:pPr>
      <w:r w:rsidRPr="00506089">
        <w:rPr>
          <w:rFonts w:ascii="Times New Roman" w:eastAsia="Calibri" w:hAnsi="Times New Roman" w:cs="Times New Roman"/>
          <w:b/>
          <w:sz w:val="24"/>
          <w:szCs w:val="24"/>
          <w:u w:val="single"/>
          <w:lang w:val="fr-CH"/>
        </w:rPr>
        <w:t>Thème </w:t>
      </w:r>
      <w:r w:rsidR="003F079C">
        <w:rPr>
          <w:rFonts w:ascii="Times New Roman" w:eastAsia="Calibri" w:hAnsi="Times New Roman" w:cs="Times New Roman"/>
          <w:b/>
          <w:sz w:val="24"/>
          <w:szCs w:val="24"/>
          <w:u w:val="single"/>
          <w:lang w:val="fr-CH"/>
        </w:rPr>
        <w:t xml:space="preserve">1 </w:t>
      </w:r>
      <w:r w:rsidRPr="00506089">
        <w:rPr>
          <w:rFonts w:ascii="Times New Roman" w:eastAsia="Calibri" w:hAnsi="Times New Roman" w:cs="Times New Roman"/>
          <w:b/>
          <w:sz w:val="24"/>
          <w:szCs w:val="24"/>
          <w:u w:val="single"/>
          <w:lang w:val="fr-CH"/>
        </w:rPr>
        <w:t xml:space="preserve">: </w:t>
      </w:r>
      <w:r>
        <w:rPr>
          <w:rFonts w:ascii="Times New Roman" w:eastAsia="Calibri" w:hAnsi="Times New Roman" w:cs="Times New Roman"/>
          <w:b/>
          <w:sz w:val="24"/>
          <w:szCs w:val="24"/>
          <w:u w:val="single"/>
          <w:lang w:val="fr-CH"/>
        </w:rPr>
        <w:t>le droit international des droits de l’homme et le droit international humanitaire</w:t>
      </w:r>
    </w:p>
    <w:p w:rsidR="00506089" w:rsidRPr="00506089" w:rsidRDefault="00506089" w:rsidP="00506089">
      <w:pPr>
        <w:spacing w:after="0"/>
        <w:ind w:left="2124" w:firstLine="708"/>
        <w:jc w:val="both"/>
        <w:rPr>
          <w:rFonts w:ascii="Times New Roman" w:eastAsia="Calibri" w:hAnsi="Times New Roman" w:cs="Times New Roman"/>
          <w:b/>
          <w:sz w:val="24"/>
          <w:szCs w:val="24"/>
          <w:u w:val="single"/>
          <w:lang w:val="fr-CH"/>
        </w:rPr>
      </w:pPr>
    </w:p>
    <w:p w:rsidR="00506089" w:rsidRPr="00506089" w:rsidRDefault="00506089" w:rsidP="00506089">
      <w:pPr>
        <w:spacing w:after="0"/>
        <w:ind w:left="2124" w:firstLine="708"/>
        <w:jc w:val="both"/>
        <w:rPr>
          <w:rFonts w:ascii="Times New Roman" w:eastAsia="Calibri" w:hAnsi="Times New Roman" w:cs="Times New Roman"/>
          <w:b/>
          <w:sz w:val="24"/>
          <w:szCs w:val="24"/>
          <w:u w:val="single"/>
          <w:lang w:val="fr-CH"/>
        </w:rPr>
      </w:pPr>
      <w:r w:rsidRPr="00506089">
        <w:rPr>
          <w:rFonts w:ascii="Times New Roman" w:eastAsia="Calibri" w:hAnsi="Times New Roman" w:cs="Times New Roman"/>
          <w:b/>
          <w:sz w:val="24"/>
          <w:szCs w:val="24"/>
          <w:u w:val="single"/>
          <w:lang w:val="fr-CH"/>
        </w:rPr>
        <w:t>COMMENTAIRE</w:t>
      </w:r>
      <w:r>
        <w:rPr>
          <w:rFonts w:ascii="Times New Roman" w:eastAsia="Calibri" w:hAnsi="Times New Roman" w:cs="Times New Roman"/>
          <w:b/>
          <w:sz w:val="24"/>
          <w:szCs w:val="24"/>
          <w:u w:val="single"/>
          <w:lang w:val="fr-CH"/>
        </w:rPr>
        <w:t xml:space="preserve"> D’ARRET</w:t>
      </w:r>
    </w:p>
    <w:p w:rsidR="00506089" w:rsidRPr="00506089" w:rsidRDefault="00506089" w:rsidP="00506089">
      <w:pPr>
        <w:spacing w:after="0"/>
        <w:ind w:left="2124" w:firstLine="708"/>
        <w:jc w:val="both"/>
        <w:rPr>
          <w:rFonts w:ascii="Times New Roman" w:eastAsia="Calibri" w:hAnsi="Times New Roman" w:cs="Times New Roman"/>
          <w:b/>
          <w:sz w:val="24"/>
          <w:szCs w:val="24"/>
          <w:u w:val="single"/>
          <w:lang w:val="fr-CH"/>
        </w:rPr>
      </w:pPr>
    </w:p>
    <w:p w:rsidR="00506089" w:rsidRPr="00506089" w:rsidRDefault="00506089" w:rsidP="00506089">
      <w:pPr>
        <w:autoSpaceDE w:val="0"/>
        <w:autoSpaceDN w:val="0"/>
        <w:adjustRightInd w:val="0"/>
        <w:spacing w:after="0" w:line="360" w:lineRule="auto"/>
        <w:ind w:left="708" w:firstLine="708"/>
        <w:jc w:val="both"/>
        <w:rPr>
          <w:rFonts w:ascii="Times New Roman" w:eastAsia="Times New Roman" w:hAnsi="Times New Roman" w:cs="Times New Roman"/>
          <w:b/>
          <w:iCs/>
          <w:sz w:val="24"/>
          <w:szCs w:val="24"/>
          <w:lang w:eastAsia="fr-FR"/>
        </w:rPr>
      </w:pPr>
      <w:r w:rsidRPr="00506089">
        <w:rPr>
          <w:rFonts w:ascii="Times New Roman" w:eastAsia="Times New Roman" w:hAnsi="Times New Roman" w:cs="Times New Roman"/>
          <w:b/>
          <w:iCs/>
          <w:sz w:val="24"/>
          <w:szCs w:val="24"/>
          <w:lang w:eastAsia="fr-FR"/>
        </w:rPr>
        <w:t>DOCUMENT REPRODUIT</w:t>
      </w:r>
    </w:p>
    <w:p w:rsidR="00506089" w:rsidRPr="00506089" w:rsidRDefault="00506089" w:rsidP="00506089">
      <w:pPr>
        <w:autoSpaceDE w:val="0"/>
        <w:autoSpaceDN w:val="0"/>
        <w:adjustRightInd w:val="0"/>
        <w:spacing w:after="0" w:line="360" w:lineRule="auto"/>
        <w:ind w:left="708" w:firstLine="708"/>
        <w:jc w:val="both"/>
        <w:rPr>
          <w:rFonts w:ascii="Times New Roman" w:eastAsia="Times New Roman" w:hAnsi="Times New Roman" w:cs="Times New Roman"/>
          <w:b/>
          <w:iCs/>
          <w:sz w:val="24"/>
          <w:szCs w:val="24"/>
          <w:lang w:eastAsia="fr-FR"/>
        </w:rPr>
      </w:pPr>
    </w:p>
    <w:p w:rsidR="00506089" w:rsidRDefault="00506089" w:rsidP="00506089">
      <w:pPr>
        <w:autoSpaceDE w:val="0"/>
        <w:autoSpaceDN w:val="0"/>
        <w:adjustRightInd w:val="0"/>
        <w:spacing w:after="0" w:line="240" w:lineRule="auto"/>
        <w:rPr>
          <w:rFonts w:ascii="Times New Roman" w:hAnsi="Times New Roman" w:cs="Times New Roman"/>
          <w:b/>
          <w:i/>
          <w:iCs/>
          <w:sz w:val="24"/>
          <w:szCs w:val="24"/>
        </w:rPr>
      </w:pPr>
      <w:r w:rsidRPr="00506089">
        <w:rPr>
          <w:rFonts w:ascii="Times New Roman" w:hAnsi="Times New Roman" w:cs="Times New Roman"/>
          <w:b/>
          <w:i/>
          <w:iCs/>
          <w:sz w:val="24"/>
          <w:szCs w:val="24"/>
        </w:rPr>
        <w:t>Conséquences jurid</w:t>
      </w:r>
      <w:r>
        <w:rPr>
          <w:rFonts w:ascii="Times New Roman" w:hAnsi="Times New Roman" w:cs="Times New Roman"/>
          <w:b/>
          <w:i/>
          <w:iCs/>
          <w:sz w:val="24"/>
          <w:szCs w:val="24"/>
        </w:rPr>
        <w:t>iques de 1'édifi</w:t>
      </w:r>
      <w:r w:rsidRPr="00506089">
        <w:rPr>
          <w:rFonts w:ascii="Times New Roman" w:hAnsi="Times New Roman" w:cs="Times New Roman"/>
          <w:b/>
          <w:i/>
          <w:iCs/>
          <w:sz w:val="24"/>
          <w:szCs w:val="24"/>
        </w:rPr>
        <w:t xml:space="preserve">cation d'un mur dans le territoire palestinien occupé, avis consultatif; C. 1. J. Recueil 2004, </w:t>
      </w:r>
      <w:r w:rsidRPr="00506089">
        <w:rPr>
          <w:rFonts w:ascii="Times New Roman" w:hAnsi="Times New Roman" w:cs="Times New Roman"/>
          <w:b/>
          <w:bCs/>
          <w:sz w:val="24"/>
          <w:szCs w:val="24"/>
        </w:rPr>
        <w:t xml:space="preserve">p. </w:t>
      </w:r>
      <w:r w:rsidRPr="00506089">
        <w:rPr>
          <w:rFonts w:ascii="Times New Roman" w:hAnsi="Times New Roman" w:cs="Times New Roman"/>
          <w:b/>
          <w:i/>
          <w:iCs/>
          <w:sz w:val="24"/>
          <w:szCs w:val="24"/>
        </w:rPr>
        <w:t>136</w:t>
      </w:r>
    </w:p>
    <w:p w:rsidR="00506089" w:rsidRPr="00506089" w:rsidRDefault="00506089" w:rsidP="00506089">
      <w:pPr>
        <w:autoSpaceDE w:val="0"/>
        <w:autoSpaceDN w:val="0"/>
        <w:adjustRightInd w:val="0"/>
        <w:spacing w:after="0" w:line="240" w:lineRule="auto"/>
        <w:rPr>
          <w:rFonts w:ascii="Times New Roman" w:hAnsi="Times New Roman" w:cs="Times New Roman"/>
          <w:b/>
          <w:i/>
          <w:iCs/>
          <w:sz w:val="24"/>
          <w:szCs w:val="24"/>
        </w:rPr>
      </w:pPr>
    </w:p>
    <w:p w:rsidR="00506089" w:rsidRPr="00E736FC" w:rsidRDefault="00506089" w:rsidP="00506089">
      <w:pPr>
        <w:autoSpaceDE w:val="0"/>
        <w:autoSpaceDN w:val="0"/>
        <w:adjustRightInd w:val="0"/>
        <w:spacing w:after="0" w:line="240" w:lineRule="auto"/>
        <w:jc w:val="both"/>
        <w:rPr>
          <w:rFonts w:ascii="Times New Roman" w:hAnsi="Times New Roman" w:cs="Times New Roman"/>
          <w:sz w:val="24"/>
          <w:szCs w:val="24"/>
        </w:rPr>
      </w:pPr>
      <w:r w:rsidRPr="00E736FC">
        <w:rPr>
          <w:rFonts w:ascii="Times New Roman" w:hAnsi="Times New Roman" w:cs="Times New Roman"/>
          <w:b/>
          <w:sz w:val="24"/>
          <w:szCs w:val="24"/>
        </w:rPr>
        <w:t>135.</w:t>
      </w:r>
      <w:r w:rsidRPr="00E736FC">
        <w:rPr>
          <w:rFonts w:ascii="Times New Roman" w:hAnsi="Times New Roman" w:cs="Times New Roman"/>
          <w:sz w:val="24"/>
          <w:szCs w:val="24"/>
        </w:rPr>
        <w:t xml:space="preserve"> La Cour observera cependant que le droit international humanitaire applicable comporte des dispositions permettant de tenir compte dans certains cas des impératifs militaires.</w:t>
      </w:r>
    </w:p>
    <w:p w:rsidR="00506089" w:rsidRPr="00E736FC" w:rsidRDefault="00506089" w:rsidP="00506089">
      <w:pPr>
        <w:autoSpaceDE w:val="0"/>
        <w:autoSpaceDN w:val="0"/>
        <w:adjustRightInd w:val="0"/>
        <w:spacing w:after="0" w:line="240" w:lineRule="auto"/>
        <w:jc w:val="both"/>
        <w:rPr>
          <w:rFonts w:ascii="Times New Roman" w:hAnsi="Times New Roman" w:cs="Times New Roman"/>
          <w:sz w:val="24"/>
          <w:szCs w:val="24"/>
        </w:rPr>
      </w:pPr>
      <w:r w:rsidRPr="00E736FC">
        <w:rPr>
          <w:rFonts w:ascii="Times New Roman" w:hAnsi="Times New Roman" w:cs="Times New Roman"/>
          <w:sz w:val="24"/>
          <w:szCs w:val="24"/>
        </w:rPr>
        <w:t>L'article 46 du règlement de La Haye de 1907 et l'article 47 de la quatrième convention de Genève ne contiennent pour leur part aucune clause de limitation de ce type. En ce qui concerne les transferts forcés de population ou les déportations prohibées par le premier alinéa de l'article 49 de la convention, le deuxième alinéa du même article réserve le cas ou «la sécurité de la population ou d'impérieuses nécessités militaires l'exigent ».</w:t>
      </w:r>
    </w:p>
    <w:p w:rsidR="00506089" w:rsidRPr="00E736FC" w:rsidRDefault="00506089" w:rsidP="00506089">
      <w:pPr>
        <w:autoSpaceDE w:val="0"/>
        <w:autoSpaceDN w:val="0"/>
        <w:adjustRightInd w:val="0"/>
        <w:spacing w:after="0" w:line="240" w:lineRule="auto"/>
        <w:jc w:val="both"/>
        <w:rPr>
          <w:rFonts w:ascii="Times New Roman" w:hAnsi="Times New Roman" w:cs="Times New Roman"/>
          <w:sz w:val="24"/>
          <w:szCs w:val="24"/>
        </w:rPr>
      </w:pPr>
      <w:r w:rsidRPr="00E736FC">
        <w:rPr>
          <w:rFonts w:ascii="Times New Roman" w:hAnsi="Times New Roman" w:cs="Times New Roman"/>
          <w:sz w:val="24"/>
          <w:szCs w:val="24"/>
        </w:rPr>
        <w:t>Cette réserve ne couvre cependant pas le sixième alinéa du même article, qui interdit à la puissance occupante de « procéder a la déportation ou au transfert d'une partie de sa propre population civile dans le territoire occupé par elle ». Quant à l'article 53 relatif à la destruction des biens, il prévoit une exception «dans les cas où ces destructions seraient rendues absolument nécessaires par les opérations militaires ».</w:t>
      </w:r>
    </w:p>
    <w:p w:rsidR="00506089" w:rsidRDefault="00506089" w:rsidP="00506089">
      <w:pPr>
        <w:autoSpaceDE w:val="0"/>
        <w:autoSpaceDN w:val="0"/>
        <w:adjustRightInd w:val="0"/>
        <w:spacing w:after="0" w:line="240" w:lineRule="auto"/>
        <w:jc w:val="both"/>
        <w:rPr>
          <w:rFonts w:ascii="Times New Roman" w:hAnsi="Times New Roman" w:cs="Times New Roman"/>
          <w:sz w:val="24"/>
          <w:szCs w:val="24"/>
        </w:rPr>
      </w:pPr>
      <w:r w:rsidRPr="00E736FC">
        <w:rPr>
          <w:rFonts w:ascii="Times New Roman" w:hAnsi="Times New Roman" w:cs="Times New Roman"/>
          <w:sz w:val="24"/>
          <w:szCs w:val="24"/>
        </w:rPr>
        <w:t>La Cour estime que les impératifs militaires prévus par ces textes peuvent être invoqués dans des territoires occupés même après la fin générale des opérations militaires ayant conduit à l'occupation de ces territoires. Toutefois, au vu du dossier, la Cour n'est pas convaincue que les destructions opérées contrairement à l'interdiction édictée à l'article 53 de la quatrième convention de Genève aient été rendues absolument nécessaires par des opérations militaires.</w:t>
      </w:r>
    </w:p>
    <w:p w:rsidR="00506089" w:rsidRPr="00E736FC" w:rsidRDefault="00506089" w:rsidP="00506089">
      <w:pPr>
        <w:autoSpaceDE w:val="0"/>
        <w:autoSpaceDN w:val="0"/>
        <w:adjustRightInd w:val="0"/>
        <w:spacing w:after="0" w:line="240" w:lineRule="auto"/>
        <w:jc w:val="both"/>
        <w:rPr>
          <w:rFonts w:ascii="Times New Roman" w:hAnsi="Times New Roman" w:cs="Times New Roman"/>
          <w:sz w:val="24"/>
          <w:szCs w:val="24"/>
        </w:rPr>
      </w:pPr>
    </w:p>
    <w:p w:rsidR="00506089" w:rsidRPr="00E736FC" w:rsidRDefault="00506089" w:rsidP="00506089">
      <w:pPr>
        <w:autoSpaceDE w:val="0"/>
        <w:autoSpaceDN w:val="0"/>
        <w:adjustRightInd w:val="0"/>
        <w:spacing w:after="0" w:line="240" w:lineRule="auto"/>
        <w:jc w:val="both"/>
        <w:rPr>
          <w:rFonts w:ascii="Times New Roman" w:hAnsi="Times New Roman" w:cs="Times New Roman"/>
          <w:sz w:val="24"/>
          <w:szCs w:val="24"/>
        </w:rPr>
      </w:pPr>
      <w:r w:rsidRPr="00E736FC">
        <w:rPr>
          <w:rFonts w:ascii="Times New Roman" w:hAnsi="Times New Roman" w:cs="Times New Roman"/>
          <w:b/>
          <w:sz w:val="24"/>
          <w:szCs w:val="24"/>
        </w:rPr>
        <w:t>136.</w:t>
      </w:r>
      <w:r w:rsidRPr="00E736FC">
        <w:rPr>
          <w:rFonts w:ascii="Times New Roman" w:hAnsi="Times New Roman" w:cs="Times New Roman"/>
          <w:sz w:val="24"/>
          <w:szCs w:val="24"/>
        </w:rPr>
        <w:t xml:space="preserve"> La Cour observera également que certaines des conventions relatives aux droits de l'homme, et en particulier le pacte international relatif aux droits civils et politiques, contiennent des clauses qui peuvent être invoquées par les Etats parties en vue de déroger, sous diverses conditions, à certaines de leurs obligations conventionnelles. A cet égard, la Cour rappellera cependant que la communication d'Israël, notifiée au Secrétaire général des Nations Unies conformément à l'article 4 du pacte international relatif aux droits civils et politiques, ne porte que sur l'article 9 du pacte concernant la liberté et la sécurité de la </w:t>
      </w:r>
      <w:r w:rsidRPr="00E736FC">
        <w:rPr>
          <w:rFonts w:ascii="Times New Roman" w:hAnsi="Times New Roman" w:cs="Times New Roman"/>
          <w:sz w:val="24"/>
          <w:szCs w:val="24"/>
        </w:rPr>
        <w:lastRenderedPageBreak/>
        <w:t>personne (voir paragraphe 127 ci-dessus); Israël est donc tenu au respect de toutes les autres dispositions de cet instrument.</w:t>
      </w:r>
    </w:p>
    <w:p w:rsidR="00506089" w:rsidRPr="00E736FC" w:rsidRDefault="00506089" w:rsidP="00506089">
      <w:pPr>
        <w:autoSpaceDE w:val="0"/>
        <w:autoSpaceDN w:val="0"/>
        <w:adjustRightInd w:val="0"/>
        <w:spacing w:after="0" w:line="240" w:lineRule="auto"/>
        <w:jc w:val="both"/>
        <w:rPr>
          <w:rFonts w:ascii="Times New Roman" w:hAnsi="Times New Roman" w:cs="Times New Roman"/>
          <w:sz w:val="24"/>
          <w:szCs w:val="24"/>
        </w:rPr>
      </w:pPr>
      <w:r w:rsidRPr="00E736FC">
        <w:rPr>
          <w:rFonts w:ascii="Times New Roman" w:hAnsi="Times New Roman" w:cs="Times New Roman"/>
          <w:sz w:val="24"/>
          <w:szCs w:val="24"/>
        </w:rPr>
        <w:t>La Cour relèvera en outre que certaines dispositions des conventions relatives aux droits de l'homme sont assorties de clauses de limitation des droits couverts par ces dispositions. Aucune clause de ce type ne figure a l'article 17 du pacte international relatif aux droits civils et politiques. En revanche, le paragraphe 3 de l'article 12 de cet instrument dispose que la liberté de circulation telle que garantie par ledit article « ne [peut] être l'objet de restrictions que si celles-ci sont prévues par la loi, nécessaires pour protéger la sécurité nationale, l'ordre public, la santé ou la moralité publiques ou les droits et libertés d'autrui et compatibles avec les autres droits reconnus par le présent pacte ».</w:t>
      </w:r>
    </w:p>
    <w:p w:rsidR="00506089" w:rsidRPr="00E736FC" w:rsidRDefault="00506089" w:rsidP="00506089">
      <w:pPr>
        <w:autoSpaceDE w:val="0"/>
        <w:autoSpaceDN w:val="0"/>
        <w:adjustRightInd w:val="0"/>
        <w:spacing w:after="0" w:line="240" w:lineRule="auto"/>
        <w:jc w:val="both"/>
        <w:rPr>
          <w:rFonts w:ascii="Times New Roman" w:hAnsi="Times New Roman" w:cs="Times New Roman"/>
          <w:sz w:val="24"/>
          <w:szCs w:val="24"/>
        </w:rPr>
      </w:pPr>
      <w:r w:rsidRPr="00E736FC">
        <w:rPr>
          <w:rFonts w:ascii="Times New Roman" w:hAnsi="Times New Roman" w:cs="Times New Roman"/>
          <w:sz w:val="24"/>
          <w:szCs w:val="24"/>
        </w:rPr>
        <w:t>Pour sa part, le pacte international relatif aux droits économiques, sociaux et culturels contient en son article 4 une disposition générale ainsi libellée :</w:t>
      </w:r>
    </w:p>
    <w:p w:rsidR="00506089" w:rsidRPr="00E736FC" w:rsidRDefault="00506089" w:rsidP="00506089">
      <w:pPr>
        <w:autoSpaceDE w:val="0"/>
        <w:autoSpaceDN w:val="0"/>
        <w:adjustRightInd w:val="0"/>
        <w:spacing w:after="0" w:line="240" w:lineRule="auto"/>
        <w:jc w:val="both"/>
        <w:rPr>
          <w:rFonts w:ascii="Times New Roman" w:hAnsi="Times New Roman" w:cs="Times New Roman"/>
          <w:sz w:val="24"/>
          <w:szCs w:val="24"/>
        </w:rPr>
      </w:pPr>
      <w:r w:rsidRPr="00E736FC">
        <w:rPr>
          <w:rFonts w:ascii="Times New Roman" w:hAnsi="Times New Roman" w:cs="Times New Roman"/>
          <w:sz w:val="24"/>
          <w:szCs w:val="24"/>
        </w:rPr>
        <w:t>«Les Etats parties au présent pacte reconnaissent que, dans la jouissance des droits assurés par 1'Etat conformément au présent pacte, 1'Etat ne peut soumettre ces droits qu'aux limitations établies par la loi, dans la seule mesure compatible avec la nature de ces droits et exclusivement en vue de favoriser le bien-être général dans une société démocratique. »</w:t>
      </w:r>
    </w:p>
    <w:p w:rsidR="00506089" w:rsidRPr="00E736FC" w:rsidRDefault="00506089" w:rsidP="00506089">
      <w:pPr>
        <w:autoSpaceDE w:val="0"/>
        <w:autoSpaceDN w:val="0"/>
        <w:adjustRightInd w:val="0"/>
        <w:spacing w:after="0" w:line="240" w:lineRule="auto"/>
        <w:jc w:val="both"/>
        <w:rPr>
          <w:rFonts w:ascii="Times New Roman" w:hAnsi="Times New Roman" w:cs="Times New Roman"/>
          <w:sz w:val="24"/>
          <w:szCs w:val="24"/>
        </w:rPr>
      </w:pPr>
      <w:r w:rsidRPr="00E736FC">
        <w:rPr>
          <w:rFonts w:ascii="Times New Roman" w:hAnsi="Times New Roman" w:cs="Times New Roman"/>
          <w:sz w:val="24"/>
          <w:szCs w:val="24"/>
        </w:rPr>
        <w:t>La Cour observera que, aux termes mêm</w:t>
      </w:r>
      <w:r>
        <w:rPr>
          <w:rFonts w:ascii="Times New Roman" w:hAnsi="Times New Roman" w:cs="Times New Roman"/>
          <w:sz w:val="24"/>
          <w:szCs w:val="24"/>
        </w:rPr>
        <w:t>es du paragraphe 3 de l</w:t>
      </w:r>
      <w:r w:rsidRPr="00E736FC">
        <w:rPr>
          <w:rFonts w:ascii="Times New Roman" w:hAnsi="Times New Roman" w:cs="Times New Roman"/>
          <w:sz w:val="24"/>
          <w:szCs w:val="24"/>
        </w:rPr>
        <w:t>'article 12 du pacte international relatif aux droits civils et politiques, les restrictions envisagées par ce paragraphe constituent des exceptions au droit à la liberté de circulation garanti au paragraphe 1. En outre, ces restrictions doivent non seulement servir les buts autorisés, mais encore être nécessaires pour atteindre ces buts. Pour reprendre la formulation retenue par le Comité des droits de l'homme, elles «doivent être conformes au principe de la proportionnalité » et « doivent constituer le moyen le moins perturbateur parmi ceux qui pourraient permettre d'obtenir le résultat recherché » (CCPR/C/21/Rev.l/Add.9, observation générale no 27, par. 14). Au vu des informations dont elle dispose, la Cour estime que ces conditions ne sont pas remplies en l'espèce.</w:t>
      </w:r>
    </w:p>
    <w:p w:rsidR="00506089" w:rsidRPr="00E736FC" w:rsidRDefault="00506089" w:rsidP="00506089">
      <w:pPr>
        <w:autoSpaceDE w:val="0"/>
        <w:autoSpaceDN w:val="0"/>
        <w:adjustRightInd w:val="0"/>
        <w:spacing w:after="0" w:line="240" w:lineRule="auto"/>
        <w:jc w:val="both"/>
        <w:rPr>
          <w:rFonts w:ascii="Times New Roman" w:hAnsi="Times New Roman" w:cs="Times New Roman"/>
          <w:sz w:val="24"/>
          <w:szCs w:val="24"/>
        </w:rPr>
      </w:pPr>
      <w:r w:rsidRPr="00E736FC">
        <w:rPr>
          <w:rFonts w:ascii="Times New Roman" w:hAnsi="Times New Roman" w:cs="Times New Roman"/>
          <w:sz w:val="24"/>
          <w:szCs w:val="24"/>
        </w:rPr>
        <w:t>La Cour fera également observer que les restrictions à la jouissance par les Palestiniens habitant dans le territoire occupé par Israël de leurs droits économiques, sociaux et culturels, telles qu'elles résultent de la</w:t>
      </w:r>
      <w:r>
        <w:rPr>
          <w:rFonts w:ascii="Times New Roman" w:hAnsi="Times New Roman" w:cs="Times New Roman"/>
          <w:sz w:val="24"/>
          <w:szCs w:val="24"/>
        </w:rPr>
        <w:t xml:space="preserve"> construction </w:t>
      </w:r>
      <w:r w:rsidRPr="00E736FC">
        <w:rPr>
          <w:rFonts w:ascii="Times New Roman" w:hAnsi="Times New Roman" w:cs="Times New Roman"/>
          <w:sz w:val="24"/>
          <w:szCs w:val="24"/>
        </w:rPr>
        <w:t>du mur par cet Etat, ne répondent pas à une condition posée par l'article 4 du pacte international relatif aux droits économiques, sociaux et culturels, à savoir qu'elles doivent être établies « exclusivement en vue de favoriser le bien-être général dans une société démocratique ».</w:t>
      </w:r>
    </w:p>
    <w:p w:rsidR="00506089" w:rsidRPr="00506089" w:rsidRDefault="00506089" w:rsidP="00506089">
      <w:pPr>
        <w:tabs>
          <w:tab w:val="left" w:pos="3945"/>
        </w:tabs>
        <w:spacing w:after="0"/>
        <w:ind w:left="2124" w:firstLine="708"/>
        <w:jc w:val="both"/>
        <w:rPr>
          <w:rFonts w:ascii="Times New Roman" w:eastAsia="Calibri" w:hAnsi="Times New Roman" w:cs="Times New Roman"/>
          <w:b/>
          <w:sz w:val="24"/>
          <w:szCs w:val="24"/>
          <w:lang w:val="fr-CH"/>
        </w:rPr>
      </w:pPr>
      <w:r w:rsidRPr="00506089">
        <w:rPr>
          <w:rFonts w:ascii="Times New Roman" w:eastAsia="Calibri" w:hAnsi="Times New Roman" w:cs="Times New Roman"/>
          <w:b/>
          <w:sz w:val="24"/>
          <w:szCs w:val="24"/>
          <w:lang w:val="fr-CH"/>
        </w:rPr>
        <w:tab/>
      </w:r>
    </w:p>
    <w:p w:rsidR="00506089" w:rsidRPr="00506089" w:rsidRDefault="00506089" w:rsidP="00506089">
      <w:pPr>
        <w:spacing w:after="0"/>
        <w:jc w:val="both"/>
        <w:rPr>
          <w:rFonts w:ascii="Times New Roman" w:eastAsia="Calibri" w:hAnsi="Times New Roman" w:cs="Times New Roman"/>
          <w:b/>
          <w:sz w:val="24"/>
          <w:szCs w:val="24"/>
          <w:lang w:val="fr-CH"/>
        </w:rPr>
      </w:pPr>
    </w:p>
    <w:p w:rsidR="00F0352C" w:rsidRPr="00506089" w:rsidRDefault="00F0352C" w:rsidP="00F0352C">
      <w:pPr>
        <w:spacing w:after="0"/>
        <w:jc w:val="both"/>
        <w:rPr>
          <w:rFonts w:ascii="Times New Roman" w:eastAsia="Calibri" w:hAnsi="Times New Roman" w:cs="Times New Roman"/>
          <w:b/>
          <w:sz w:val="24"/>
          <w:szCs w:val="24"/>
          <w:lang w:val="fr-CH"/>
        </w:rPr>
      </w:pPr>
      <w:r w:rsidRPr="00506089">
        <w:rPr>
          <w:rFonts w:ascii="Times New Roman" w:eastAsia="Calibri" w:hAnsi="Times New Roman" w:cs="Times New Roman"/>
          <w:b/>
          <w:sz w:val="24"/>
          <w:szCs w:val="24"/>
          <w:lang w:val="fr-CH"/>
        </w:rPr>
        <w:t>Orientation de lecture :</w:t>
      </w:r>
    </w:p>
    <w:p w:rsidR="00F0352C" w:rsidRPr="00506089" w:rsidRDefault="00F0352C" w:rsidP="00F0352C">
      <w:pPr>
        <w:spacing w:after="0"/>
        <w:jc w:val="both"/>
        <w:rPr>
          <w:rFonts w:ascii="Times New Roman" w:eastAsia="Calibri" w:hAnsi="Times New Roman" w:cs="Times New Roman"/>
          <w:b/>
          <w:sz w:val="24"/>
          <w:szCs w:val="24"/>
          <w:lang w:val="fr-CH"/>
        </w:rPr>
      </w:pPr>
      <w:r w:rsidRPr="00506089">
        <w:rPr>
          <w:rFonts w:ascii="Times New Roman" w:eastAsia="Calibri" w:hAnsi="Times New Roman" w:cs="Times New Roman"/>
          <w:b/>
          <w:sz w:val="24"/>
          <w:szCs w:val="24"/>
          <w:lang w:val="fr-CH"/>
        </w:rPr>
        <w:t>- COMBACAU, (J), et SUR, (S), Droit international public, 3</w:t>
      </w:r>
      <w:r w:rsidRPr="00506089">
        <w:rPr>
          <w:rFonts w:ascii="Times New Roman" w:eastAsia="Calibri" w:hAnsi="Times New Roman" w:cs="Times New Roman"/>
          <w:b/>
          <w:sz w:val="24"/>
          <w:szCs w:val="24"/>
          <w:vertAlign w:val="superscript"/>
          <w:lang w:val="fr-CH"/>
        </w:rPr>
        <w:t>ème</w:t>
      </w:r>
      <w:r w:rsidRPr="00506089">
        <w:rPr>
          <w:rFonts w:ascii="Times New Roman" w:eastAsia="Calibri" w:hAnsi="Times New Roman" w:cs="Times New Roman"/>
          <w:b/>
          <w:sz w:val="24"/>
          <w:szCs w:val="24"/>
          <w:lang w:val="fr-CH"/>
        </w:rPr>
        <w:t xml:space="preserve">  édition Montchrestien, 1997, pp. 42-45 ;</w:t>
      </w:r>
    </w:p>
    <w:p w:rsidR="00F0352C" w:rsidRPr="002255DC" w:rsidRDefault="00F0352C" w:rsidP="00F0352C">
      <w:pPr>
        <w:rPr>
          <w:rFonts w:ascii="Times New Roman" w:eastAsia="Times New Roman" w:hAnsi="Times New Roman" w:cs="Times New Roman"/>
          <w:sz w:val="24"/>
          <w:szCs w:val="24"/>
          <w:lang w:eastAsia="fr-FR"/>
        </w:rPr>
      </w:pPr>
      <w:r w:rsidRPr="002255DC">
        <w:rPr>
          <w:rFonts w:ascii="Times New Roman" w:eastAsia="Calibri" w:hAnsi="Times New Roman" w:cs="Times New Roman"/>
          <w:sz w:val="24"/>
          <w:szCs w:val="24"/>
          <w:lang w:val="fr-CH"/>
        </w:rPr>
        <w:t xml:space="preserve">- </w:t>
      </w:r>
      <w:r w:rsidRPr="002255DC">
        <w:rPr>
          <w:rFonts w:ascii="Times New Roman" w:eastAsia="Times New Roman" w:hAnsi="Times New Roman" w:cs="Times New Roman"/>
          <w:b/>
          <w:sz w:val="24"/>
          <w:szCs w:val="24"/>
          <w:lang w:eastAsia="fr-FR"/>
        </w:rPr>
        <w:t>NGUYEN QUOC DIHN, PELLET (A.) and DAILLIER (P.), Droit international public, Paris, LGDJ, 2002, p.602</w:t>
      </w:r>
    </w:p>
    <w:p w:rsidR="00506089" w:rsidRPr="00F0352C" w:rsidRDefault="00F0352C" w:rsidP="00F0352C">
      <w:pPr>
        <w:rPr>
          <w:rFonts w:ascii="Times New Roman" w:eastAsia="Times New Roman" w:hAnsi="Times New Roman" w:cs="Times New Roman"/>
          <w:b/>
          <w:sz w:val="24"/>
          <w:szCs w:val="24"/>
          <w:lang w:eastAsia="fr-FR"/>
        </w:rPr>
      </w:pPr>
      <w:r w:rsidRPr="002255DC">
        <w:rPr>
          <w:rFonts w:ascii="Times New Roman" w:eastAsia="Calibri" w:hAnsi="Times New Roman" w:cs="Times New Roman"/>
          <w:b/>
          <w:sz w:val="24"/>
          <w:szCs w:val="24"/>
          <w:lang w:val="fr-CH"/>
        </w:rPr>
        <w:t>-</w:t>
      </w:r>
      <w:r w:rsidRPr="002255DC">
        <w:rPr>
          <w:rFonts w:ascii="Times New Roman" w:eastAsia="Times New Roman" w:hAnsi="Times New Roman" w:cs="Times New Roman"/>
          <w:b/>
          <w:sz w:val="24"/>
          <w:szCs w:val="24"/>
          <w:lang w:eastAsia="fr-FR"/>
        </w:rPr>
        <w:t xml:space="preserve"> DUPUY (P.-M.), Droit international p</w:t>
      </w:r>
      <w:r>
        <w:rPr>
          <w:rFonts w:ascii="Times New Roman" w:eastAsia="Times New Roman" w:hAnsi="Times New Roman" w:cs="Times New Roman"/>
          <w:b/>
          <w:sz w:val="24"/>
          <w:szCs w:val="24"/>
          <w:lang w:eastAsia="fr-FR"/>
        </w:rPr>
        <w:t>ublic</w:t>
      </w:r>
      <w:r w:rsidRPr="002255DC">
        <w:rPr>
          <w:rFonts w:ascii="Times New Roman" w:eastAsia="Times New Roman" w:hAnsi="Times New Roman" w:cs="Times New Roman"/>
          <w:b/>
          <w:sz w:val="24"/>
          <w:szCs w:val="24"/>
          <w:lang w:eastAsia="fr-FR"/>
        </w:rPr>
        <w:t>, Paris, Dalloz, 1998, pp.138-139</w:t>
      </w:r>
      <w:bookmarkStart w:id="0" w:name="_GoBack"/>
      <w:bookmarkEnd w:id="0"/>
    </w:p>
    <w:p w:rsidR="00506089" w:rsidRDefault="00506089" w:rsidP="00506089">
      <w:pPr>
        <w:spacing w:after="0"/>
        <w:jc w:val="both"/>
        <w:rPr>
          <w:rFonts w:ascii="Times New Roman" w:eastAsia="Calibri" w:hAnsi="Times New Roman" w:cs="Times New Roman"/>
          <w:b/>
          <w:sz w:val="24"/>
          <w:szCs w:val="24"/>
          <w:lang w:val="fr-CH"/>
        </w:rPr>
      </w:pPr>
      <w:r w:rsidRPr="00506089">
        <w:rPr>
          <w:rFonts w:ascii="Times New Roman" w:eastAsia="Calibri" w:hAnsi="Times New Roman" w:cs="Times New Roman"/>
          <w:b/>
          <w:sz w:val="24"/>
          <w:szCs w:val="24"/>
          <w:lang w:val="fr-CH"/>
        </w:rPr>
        <w:t>Travail à effectuer :</w:t>
      </w:r>
    </w:p>
    <w:p w:rsidR="00506089" w:rsidRDefault="00506089" w:rsidP="00506089">
      <w:pPr>
        <w:pStyle w:val="Paragraphedeliste"/>
        <w:numPr>
          <w:ilvl w:val="0"/>
          <w:numId w:val="7"/>
        </w:numPr>
        <w:spacing w:after="0"/>
        <w:jc w:val="both"/>
        <w:rPr>
          <w:rFonts w:ascii="Times New Roman" w:eastAsia="Calibri" w:hAnsi="Times New Roman" w:cs="Times New Roman"/>
          <w:b/>
          <w:sz w:val="24"/>
          <w:szCs w:val="24"/>
          <w:lang w:val="fr-CH"/>
        </w:rPr>
      </w:pPr>
      <w:r>
        <w:rPr>
          <w:rFonts w:ascii="Times New Roman" w:eastAsia="Calibri" w:hAnsi="Times New Roman" w:cs="Times New Roman"/>
          <w:b/>
          <w:sz w:val="24"/>
          <w:szCs w:val="24"/>
          <w:lang w:val="fr-CH"/>
        </w:rPr>
        <w:t xml:space="preserve">Définir : le droit international des droits de l’homme, le droit international humanitaire, </w:t>
      </w:r>
      <w:r w:rsidR="00086835">
        <w:rPr>
          <w:rFonts w:ascii="Times New Roman" w:eastAsia="Calibri" w:hAnsi="Times New Roman" w:cs="Times New Roman"/>
          <w:b/>
          <w:sz w:val="24"/>
          <w:szCs w:val="24"/>
          <w:lang w:val="fr-CH"/>
        </w:rPr>
        <w:t>protection internationale.</w:t>
      </w:r>
    </w:p>
    <w:p w:rsidR="00086835" w:rsidRDefault="00086835" w:rsidP="00506089">
      <w:pPr>
        <w:pStyle w:val="Paragraphedeliste"/>
        <w:numPr>
          <w:ilvl w:val="0"/>
          <w:numId w:val="7"/>
        </w:numPr>
        <w:spacing w:after="0"/>
        <w:jc w:val="both"/>
        <w:rPr>
          <w:rFonts w:ascii="Times New Roman" w:eastAsia="Calibri" w:hAnsi="Times New Roman" w:cs="Times New Roman"/>
          <w:b/>
          <w:sz w:val="24"/>
          <w:szCs w:val="24"/>
          <w:lang w:val="fr-CH"/>
        </w:rPr>
      </w:pPr>
      <w:r>
        <w:rPr>
          <w:rFonts w:ascii="Times New Roman" w:eastAsia="Calibri" w:hAnsi="Times New Roman" w:cs="Times New Roman"/>
          <w:b/>
          <w:sz w:val="24"/>
          <w:szCs w:val="24"/>
          <w:lang w:val="fr-CH"/>
        </w:rPr>
        <w:t>Quelles sont les principales conventions en DIDH et DIH ?</w:t>
      </w:r>
    </w:p>
    <w:p w:rsidR="00086835" w:rsidRDefault="00086835" w:rsidP="00086835">
      <w:pPr>
        <w:pStyle w:val="Paragraphedeliste"/>
        <w:numPr>
          <w:ilvl w:val="0"/>
          <w:numId w:val="7"/>
        </w:numPr>
        <w:spacing w:after="0"/>
        <w:jc w:val="both"/>
        <w:rPr>
          <w:rFonts w:ascii="Times New Roman" w:eastAsia="Calibri" w:hAnsi="Times New Roman" w:cs="Times New Roman"/>
          <w:b/>
          <w:sz w:val="24"/>
          <w:szCs w:val="24"/>
          <w:lang w:val="fr-CH"/>
        </w:rPr>
      </w:pPr>
      <w:r>
        <w:rPr>
          <w:rFonts w:ascii="Times New Roman" w:eastAsia="Calibri" w:hAnsi="Times New Roman" w:cs="Times New Roman"/>
          <w:b/>
          <w:sz w:val="24"/>
          <w:szCs w:val="24"/>
          <w:lang w:val="fr-CH"/>
        </w:rPr>
        <w:t>Quels sont les moyens de répression en DIDH et DIH ?</w:t>
      </w:r>
    </w:p>
    <w:p w:rsidR="00086835" w:rsidRDefault="00086835" w:rsidP="00086835">
      <w:pPr>
        <w:pStyle w:val="Paragraphedeliste"/>
        <w:numPr>
          <w:ilvl w:val="0"/>
          <w:numId w:val="7"/>
        </w:numPr>
        <w:spacing w:after="0"/>
        <w:jc w:val="both"/>
        <w:rPr>
          <w:rFonts w:ascii="Times New Roman" w:eastAsia="Calibri" w:hAnsi="Times New Roman" w:cs="Times New Roman"/>
          <w:b/>
          <w:sz w:val="24"/>
          <w:szCs w:val="24"/>
          <w:lang w:val="fr-CH"/>
        </w:rPr>
      </w:pPr>
      <w:r>
        <w:rPr>
          <w:rFonts w:ascii="Times New Roman" w:eastAsia="Calibri" w:hAnsi="Times New Roman" w:cs="Times New Roman"/>
          <w:b/>
          <w:sz w:val="24"/>
          <w:szCs w:val="24"/>
          <w:lang w:val="fr-CH"/>
        </w:rPr>
        <w:t>Faites un commentaire de l’extrait de l’arrêt de la CIJ.</w:t>
      </w:r>
    </w:p>
    <w:p w:rsidR="003F079C" w:rsidRDefault="003F079C" w:rsidP="003F079C">
      <w:pPr>
        <w:spacing w:after="0"/>
        <w:jc w:val="both"/>
        <w:rPr>
          <w:rFonts w:ascii="Times New Roman" w:eastAsia="Calibri" w:hAnsi="Times New Roman" w:cs="Times New Roman"/>
          <w:b/>
          <w:sz w:val="24"/>
          <w:szCs w:val="24"/>
          <w:lang w:val="fr-CH"/>
        </w:rPr>
      </w:pPr>
    </w:p>
    <w:p w:rsidR="003F079C" w:rsidRPr="003F079C" w:rsidRDefault="003F079C" w:rsidP="003F079C">
      <w:pPr>
        <w:spacing w:after="0"/>
        <w:jc w:val="both"/>
        <w:rPr>
          <w:rFonts w:ascii="Times New Roman" w:eastAsia="Calibri" w:hAnsi="Times New Roman" w:cs="Times New Roman"/>
          <w:b/>
          <w:sz w:val="24"/>
          <w:szCs w:val="24"/>
          <w:lang w:val="fr-CH"/>
        </w:rPr>
      </w:pPr>
    </w:p>
    <w:p w:rsidR="009629F7" w:rsidRPr="00506089" w:rsidRDefault="009629F7" w:rsidP="009629F7">
      <w:pPr>
        <w:spacing w:after="0"/>
        <w:ind w:left="2124" w:firstLine="708"/>
        <w:jc w:val="both"/>
        <w:rPr>
          <w:rFonts w:ascii="Times New Roman" w:eastAsia="Calibri" w:hAnsi="Times New Roman" w:cs="Times New Roman"/>
          <w:b/>
          <w:sz w:val="24"/>
          <w:szCs w:val="24"/>
          <w:u w:val="single"/>
          <w:lang w:val="fr-CH"/>
        </w:rPr>
      </w:pPr>
      <w:r w:rsidRPr="00506089">
        <w:rPr>
          <w:rFonts w:ascii="Times New Roman" w:eastAsia="Calibri" w:hAnsi="Times New Roman" w:cs="Times New Roman"/>
          <w:b/>
          <w:sz w:val="24"/>
          <w:szCs w:val="24"/>
          <w:u w:val="single"/>
          <w:lang w:val="fr-CH"/>
        </w:rPr>
        <w:t>Thème </w:t>
      </w:r>
      <w:r>
        <w:rPr>
          <w:rFonts w:ascii="Times New Roman" w:eastAsia="Calibri" w:hAnsi="Times New Roman" w:cs="Times New Roman"/>
          <w:b/>
          <w:sz w:val="24"/>
          <w:szCs w:val="24"/>
          <w:u w:val="single"/>
          <w:lang w:val="fr-CH"/>
        </w:rPr>
        <w:t xml:space="preserve">2 </w:t>
      </w:r>
      <w:r w:rsidRPr="00506089">
        <w:rPr>
          <w:rFonts w:ascii="Times New Roman" w:eastAsia="Calibri" w:hAnsi="Times New Roman" w:cs="Times New Roman"/>
          <w:b/>
          <w:sz w:val="24"/>
          <w:szCs w:val="24"/>
          <w:u w:val="single"/>
          <w:lang w:val="fr-CH"/>
        </w:rPr>
        <w:t xml:space="preserve">: </w:t>
      </w:r>
      <w:r>
        <w:rPr>
          <w:rFonts w:ascii="Times New Roman" w:eastAsia="Calibri" w:hAnsi="Times New Roman" w:cs="Times New Roman"/>
          <w:b/>
          <w:sz w:val="24"/>
          <w:szCs w:val="24"/>
          <w:u w:val="single"/>
          <w:lang w:val="fr-CH"/>
        </w:rPr>
        <w:t>le règlement pacifique des différends</w:t>
      </w:r>
    </w:p>
    <w:p w:rsidR="009629F7" w:rsidRPr="00506089" w:rsidRDefault="009629F7" w:rsidP="009629F7">
      <w:pPr>
        <w:spacing w:after="0"/>
        <w:ind w:left="2124" w:firstLine="708"/>
        <w:jc w:val="both"/>
        <w:rPr>
          <w:rFonts w:ascii="Times New Roman" w:eastAsia="Calibri" w:hAnsi="Times New Roman" w:cs="Times New Roman"/>
          <w:b/>
          <w:sz w:val="24"/>
          <w:szCs w:val="24"/>
          <w:u w:val="single"/>
          <w:lang w:val="fr-CH"/>
        </w:rPr>
      </w:pPr>
    </w:p>
    <w:p w:rsidR="009629F7" w:rsidRPr="00506089" w:rsidRDefault="009629F7" w:rsidP="009629F7">
      <w:pPr>
        <w:spacing w:after="0"/>
        <w:ind w:left="2124" w:firstLine="708"/>
        <w:jc w:val="both"/>
        <w:rPr>
          <w:rFonts w:ascii="Times New Roman" w:eastAsia="Calibri" w:hAnsi="Times New Roman" w:cs="Times New Roman"/>
          <w:b/>
          <w:sz w:val="24"/>
          <w:szCs w:val="24"/>
          <w:u w:val="single"/>
          <w:lang w:val="fr-CH"/>
        </w:rPr>
      </w:pPr>
      <w:r w:rsidRPr="00506089">
        <w:rPr>
          <w:rFonts w:ascii="Times New Roman" w:eastAsia="Calibri" w:hAnsi="Times New Roman" w:cs="Times New Roman"/>
          <w:b/>
          <w:sz w:val="24"/>
          <w:szCs w:val="24"/>
          <w:u w:val="single"/>
          <w:lang w:val="fr-CH"/>
        </w:rPr>
        <w:t>COMMENTAIRE</w:t>
      </w:r>
    </w:p>
    <w:p w:rsidR="009629F7" w:rsidRPr="00506089" w:rsidRDefault="009629F7" w:rsidP="009629F7">
      <w:pPr>
        <w:spacing w:after="0"/>
        <w:ind w:left="2124" w:firstLine="708"/>
        <w:jc w:val="both"/>
        <w:rPr>
          <w:rFonts w:ascii="Times New Roman" w:eastAsia="Calibri" w:hAnsi="Times New Roman" w:cs="Times New Roman"/>
          <w:b/>
          <w:sz w:val="24"/>
          <w:szCs w:val="24"/>
          <w:u w:val="single"/>
          <w:lang w:val="fr-CH"/>
        </w:rPr>
      </w:pPr>
    </w:p>
    <w:p w:rsidR="009629F7" w:rsidRPr="00506089" w:rsidRDefault="009629F7" w:rsidP="009629F7">
      <w:pPr>
        <w:autoSpaceDE w:val="0"/>
        <w:autoSpaceDN w:val="0"/>
        <w:adjustRightInd w:val="0"/>
        <w:spacing w:after="0" w:line="360" w:lineRule="auto"/>
        <w:ind w:left="708" w:firstLine="708"/>
        <w:jc w:val="both"/>
        <w:rPr>
          <w:rFonts w:ascii="Times New Roman" w:eastAsia="Times New Roman" w:hAnsi="Times New Roman" w:cs="Times New Roman"/>
          <w:b/>
          <w:iCs/>
          <w:sz w:val="24"/>
          <w:szCs w:val="24"/>
          <w:lang w:eastAsia="fr-FR"/>
        </w:rPr>
      </w:pPr>
      <w:r w:rsidRPr="00506089">
        <w:rPr>
          <w:rFonts w:ascii="Times New Roman" w:eastAsia="Times New Roman" w:hAnsi="Times New Roman" w:cs="Times New Roman"/>
          <w:b/>
          <w:iCs/>
          <w:sz w:val="24"/>
          <w:szCs w:val="24"/>
          <w:lang w:eastAsia="fr-FR"/>
        </w:rPr>
        <w:t>DOCUMENT REPRODUIT</w:t>
      </w:r>
    </w:p>
    <w:p w:rsidR="009629F7" w:rsidRDefault="009629F7" w:rsidP="009629F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Article 33 de la Charte des Nations Unies du 26 juin 1945</w:t>
      </w:r>
    </w:p>
    <w:p w:rsidR="009629F7" w:rsidRDefault="009629F7" w:rsidP="009629F7">
      <w:pPr>
        <w:autoSpaceDE w:val="0"/>
        <w:autoSpaceDN w:val="0"/>
        <w:adjustRightInd w:val="0"/>
        <w:spacing w:after="0" w:line="240" w:lineRule="auto"/>
        <w:rPr>
          <w:rFonts w:ascii="Times New Roman" w:hAnsi="Times New Roman" w:cs="Times New Roman"/>
          <w:b/>
          <w:bCs/>
          <w:sz w:val="24"/>
          <w:szCs w:val="24"/>
        </w:rPr>
      </w:pPr>
    </w:p>
    <w:p w:rsidR="009629F7" w:rsidRDefault="009629F7" w:rsidP="009629F7">
      <w:pPr>
        <w:autoSpaceDE w:val="0"/>
        <w:autoSpaceDN w:val="0"/>
        <w:adjustRightInd w:val="0"/>
        <w:spacing w:after="0" w:line="240" w:lineRule="auto"/>
        <w:rPr>
          <w:rFonts w:ascii="Times New Roman" w:hAnsi="Times New Roman" w:cs="Times New Roman"/>
          <w:b/>
          <w:bCs/>
          <w:sz w:val="24"/>
          <w:szCs w:val="24"/>
        </w:rPr>
      </w:pPr>
    </w:p>
    <w:p w:rsidR="009629F7" w:rsidRDefault="009629F7" w:rsidP="00962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1. Les parties à tout différend dont la prolongation est susceptible de menacer le maintien de la paix et de la sécurité internationales doivent en rechercher la solution, avant tout, par voie de négociation, d'enquête, de médiation, de conciliation, d'arbitrage, de règlement judiciaire, de recours aux organismes ou accords régionaux, ou par d'autres moyens pacifiques de leur choix.</w:t>
      </w:r>
    </w:p>
    <w:p w:rsidR="009629F7" w:rsidRDefault="009629F7" w:rsidP="009629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Le Conseil de sécurité, s'il le juge nécessaire, invite les parties à régler leur différend par de tels moyens. »</w:t>
      </w:r>
    </w:p>
    <w:p w:rsidR="009629F7" w:rsidRDefault="009629F7" w:rsidP="009629F7">
      <w:pPr>
        <w:rPr>
          <w:rFonts w:ascii="Times New Roman" w:hAnsi="Times New Roman" w:cs="Times New Roman"/>
          <w:sz w:val="24"/>
          <w:szCs w:val="24"/>
        </w:rPr>
      </w:pPr>
    </w:p>
    <w:p w:rsidR="009629F7" w:rsidRPr="00506089" w:rsidRDefault="009629F7" w:rsidP="009629F7">
      <w:pPr>
        <w:spacing w:after="0"/>
        <w:jc w:val="both"/>
        <w:rPr>
          <w:rFonts w:ascii="Times New Roman" w:eastAsia="Calibri" w:hAnsi="Times New Roman" w:cs="Times New Roman"/>
          <w:b/>
          <w:sz w:val="24"/>
          <w:szCs w:val="24"/>
          <w:lang w:val="fr-CH"/>
        </w:rPr>
      </w:pPr>
      <w:r w:rsidRPr="00506089">
        <w:rPr>
          <w:rFonts w:ascii="Times New Roman" w:eastAsia="Calibri" w:hAnsi="Times New Roman" w:cs="Times New Roman"/>
          <w:b/>
          <w:sz w:val="24"/>
          <w:szCs w:val="24"/>
          <w:lang w:val="fr-CH"/>
        </w:rPr>
        <w:t>Orientation de lecture :</w:t>
      </w:r>
    </w:p>
    <w:p w:rsidR="009629F7" w:rsidRPr="00506089" w:rsidRDefault="009629F7" w:rsidP="009629F7">
      <w:pPr>
        <w:spacing w:after="0"/>
        <w:jc w:val="both"/>
        <w:rPr>
          <w:rFonts w:ascii="Times New Roman" w:eastAsia="Calibri" w:hAnsi="Times New Roman" w:cs="Times New Roman"/>
          <w:b/>
          <w:sz w:val="24"/>
          <w:szCs w:val="24"/>
          <w:lang w:val="fr-CH"/>
        </w:rPr>
      </w:pPr>
      <w:r w:rsidRPr="00506089">
        <w:rPr>
          <w:rFonts w:ascii="Times New Roman" w:eastAsia="Calibri" w:hAnsi="Times New Roman" w:cs="Times New Roman"/>
          <w:b/>
          <w:sz w:val="24"/>
          <w:szCs w:val="24"/>
          <w:lang w:val="fr-CH"/>
        </w:rPr>
        <w:t>- COMBACAU, (J), et SUR, (S), Droit international public, 3</w:t>
      </w:r>
      <w:r w:rsidRPr="00506089">
        <w:rPr>
          <w:rFonts w:ascii="Times New Roman" w:eastAsia="Calibri" w:hAnsi="Times New Roman" w:cs="Times New Roman"/>
          <w:b/>
          <w:sz w:val="24"/>
          <w:szCs w:val="24"/>
          <w:vertAlign w:val="superscript"/>
          <w:lang w:val="fr-CH"/>
        </w:rPr>
        <w:t>ème</w:t>
      </w:r>
      <w:r w:rsidRPr="00506089">
        <w:rPr>
          <w:rFonts w:ascii="Times New Roman" w:eastAsia="Calibri" w:hAnsi="Times New Roman" w:cs="Times New Roman"/>
          <w:b/>
          <w:sz w:val="24"/>
          <w:szCs w:val="24"/>
          <w:lang w:val="fr-CH"/>
        </w:rPr>
        <w:t xml:space="preserve">  édition Montchrestien, 1997, pp. 42-45 ;</w:t>
      </w:r>
    </w:p>
    <w:p w:rsidR="009629F7" w:rsidRPr="002255DC" w:rsidRDefault="009629F7" w:rsidP="009629F7">
      <w:pPr>
        <w:rPr>
          <w:rFonts w:ascii="Times New Roman" w:eastAsia="Times New Roman" w:hAnsi="Times New Roman" w:cs="Times New Roman"/>
          <w:sz w:val="24"/>
          <w:szCs w:val="24"/>
          <w:lang w:eastAsia="fr-FR"/>
        </w:rPr>
      </w:pPr>
      <w:r w:rsidRPr="002255DC">
        <w:rPr>
          <w:rFonts w:ascii="Times New Roman" w:eastAsia="Calibri" w:hAnsi="Times New Roman" w:cs="Times New Roman"/>
          <w:sz w:val="24"/>
          <w:szCs w:val="24"/>
          <w:lang w:val="fr-CH"/>
        </w:rPr>
        <w:t xml:space="preserve">- </w:t>
      </w:r>
      <w:r w:rsidRPr="002255DC">
        <w:rPr>
          <w:rFonts w:ascii="Times New Roman" w:eastAsia="Times New Roman" w:hAnsi="Times New Roman" w:cs="Times New Roman"/>
          <w:b/>
          <w:sz w:val="24"/>
          <w:szCs w:val="24"/>
          <w:lang w:eastAsia="fr-FR"/>
        </w:rPr>
        <w:t>NGUYEN QUOC DIHN, PELLET (A.) and DAILLIER (P.), Droit international public, Paris, LGDJ, 2002, p.602</w:t>
      </w:r>
    </w:p>
    <w:p w:rsidR="009629F7" w:rsidRPr="002255DC" w:rsidRDefault="009629F7" w:rsidP="009629F7">
      <w:pPr>
        <w:rPr>
          <w:rFonts w:ascii="Times New Roman" w:eastAsia="Times New Roman" w:hAnsi="Times New Roman" w:cs="Times New Roman"/>
          <w:b/>
          <w:sz w:val="24"/>
          <w:szCs w:val="24"/>
          <w:lang w:eastAsia="fr-FR"/>
        </w:rPr>
      </w:pPr>
      <w:r w:rsidRPr="002255DC">
        <w:rPr>
          <w:rFonts w:ascii="Times New Roman" w:eastAsia="Calibri" w:hAnsi="Times New Roman" w:cs="Times New Roman"/>
          <w:b/>
          <w:sz w:val="24"/>
          <w:szCs w:val="24"/>
          <w:lang w:val="fr-CH"/>
        </w:rPr>
        <w:t>-</w:t>
      </w:r>
      <w:r w:rsidRPr="002255DC">
        <w:rPr>
          <w:rFonts w:ascii="Times New Roman" w:eastAsia="Times New Roman" w:hAnsi="Times New Roman" w:cs="Times New Roman"/>
          <w:b/>
          <w:sz w:val="24"/>
          <w:szCs w:val="24"/>
          <w:lang w:eastAsia="fr-FR"/>
        </w:rPr>
        <w:t xml:space="preserve"> DUPUY (P.-M.), Droit international p</w:t>
      </w:r>
      <w:r>
        <w:rPr>
          <w:rFonts w:ascii="Times New Roman" w:eastAsia="Times New Roman" w:hAnsi="Times New Roman" w:cs="Times New Roman"/>
          <w:b/>
          <w:sz w:val="24"/>
          <w:szCs w:val="24"/>
          <w:lang w:eastAsia="fr-FR"/>
        </w:rPr>
        <w:t>ublic</w:t>
      </w:r>
      <w:r w:rsidRPr="002255DC">
        <w:rPr>
          <w:rFonts w:ascii="Times New Roman" w:eastAsia="Times New Roman" w:hAnsi="Times New Roman" w:cs="Times New Roman"/>
          <w:b/>
          <w:sz w:val="24"/>
          <w:szCs w:val="24"/>
          <w:lang w:eastAsia="fr-FR"/>
        </w:rPr>
        <w:t>, Paris, Dalloz, 1998, pp.138-139</w:t>
      </w:r>
    </w:p>
    <w:p w:rsidR="009629F7" w:rsidRPr="005E751E" w:rsidRDefault="009629F7" w:rsidP="009629F7">
      <w:pPr>
        <w:rPr>
          <w:rFonts w:ascii="Times New Roman" w:hAnsi="Times New Roman" w:cs="Times New Roman"/>
          <w:b/>
          <w:sz w:val="24"/>
          <w:szCs w:val="24"/>
        </w:rPr>
      </w:pPr>
      <w:r w:rsidRPr="005E751E">
        <w:rPr>
          <w:rFonts w:ascii="Times New Roman" w:hAnsi="Times New Roman" w:cs="Times New Roman"/>
          <w:b/>
          <w:sz w:val="24"/>
          <w:szCs w:val="24"/>
        </w:rPr>
        <w:t>Travail à faire :</w:t>
      </w:r>
    </w:p>
    <w:p w:rsidR="009629F7" w:rsidRDefault="009629F7" w:rsidP="009629F7">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Qu’entend-t-on par la promotion de la paix internationale ?</w:t>
      </w:r>
    </w:p>
    <w:p w:rsidR="009629F7" w:rsidRDefault="009629F7" w:rsidP="009629F7">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Quels sont les modalités de règlement des différends internationaux ?</w:t>
      </w:r>
    </w:p>
    <w:p w:rsidR="009629F7" w:rsidRDefault="009629F7" w:rsidP="009629F7">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Quels sont les caractères essentiels de chaque modalité de règlement des différends ?</w:t>
      </w:r>
    </w:p>
    <w:p w:rsidR="009629F7" w:rsidRPr="005E751E" w:rsidRDefault="009629F7" w:rsidP="009629F7">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Faites un commentaire de l’article 33 de la Charte des Nations Unies.</w:t>
      </w:r>
    </w:p>
    <w:p w:rsidR="00506089" w:rsidRPr="009629F7" w:rsidRDefault="00506089" w:rsidP="00506089">
      <w:pPr>
        <w:spacing w:after="0"/>
        <w:jc w:val="both"/>
        <w:rPr>
          <w:rFonts w:ascii="Times New Roman" w:eastAsia="Calibri" w:hAnsi="Times New Roman" w:cs="Times New Roman"/>
          <w:b/>
          <w:sz w:val="24"/>
          <w:szCs w:val="24"/>
        </w:rPr>
      </w:pPr>
    </w:p>
    <w:sectPr w:rsidR="00506089" w:rsidRPr="009629F7" w:rsidSect="00582FC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0CE" w:rsidRDefault="008420CE" w:rsidP="00086835">
      <w:pPr>
        <w:spacing w:after="0" w:line="240" w:lineRule="auto"/>
      </w:pPr>
      <w:r>
        <w:separator/>
      </w:r>
    </w:p>
  </w:endnote>
  <w:endnote w:type="continuationSeparator" w:id="1">
    <w:p w:rsidR="008420CE" w:rsidRDefault="008420CE" w:rsidP="00086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0CE" w:rsidRDefault="008420CE" w:rsidP="00086835">
      <w:pPr>
        <w:spacing w:after="0" w:line="240" w:lineRule="auto"/>
      </w:pPr>
      <w:r>
        <w:separator/>
      </w:r>
    </w:p>
  </w:footnote>
  <w:footnote w:type="continuationSeparator" w:id="1">
    <w:p w:rsidR="008420CE" w:rsidRDefault="008420CE" w:rsidP="000868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764D6"/>
    <w:multiLevelType w:val="hybridMultilevel"/>
    <w:tmpl w:val="77961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892B4D"/>
    <w:multiLevelType w:val="hybridMultilevel"/>
    <w:tmpl w:val="0F929D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647685"/>
    <w:multiLevelType w:val="hybridMultilevel"/>
    <w:tmpl w:val="6CF0B1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CB556F"/>
    <w:multiLevelType w:val="hybridMultilevel"/>
    <w:tmpl w:val="57C8FD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4A2F97"/>
    <w:multiLevelType w:val="hybridMultilevel"/>
    <w:tmpl w:val="4B02E664"/>
    <w:lvl w:ilvl="0" w:tplc="D76C072A">
      <w:start w:val="50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430E35"/>
    <w:multiLevelType w:val="hybridMultilevel"/>
    <w:tmpl w:val="933861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C708A3"/>
    <w:multiLevelType w:val="hybridMultilevel"/>
    <w:tmpl w:val="AA30A0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8C1654C"/>
    <w:multiLevelType w:val="hybridMultilevel"/>
    <w:tmpl w:val="E61EC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736FC"/>
    <w:rsid w:val="00086835"/>
    <w:rsid w:val="001A711D"/>
    <w:rsid w:val="002C02D5"/>
    <w:rsid w:val="003C26BB"/>
    <w:rsid w:val="003F079C"/>
    <w:rsid w:val="00465746"/>
    <w:rsid w:val="00506089"/>
    <w:rsid w:val="00531D88"/>
    <w:rsid w:val="00546219"/>
    <w:rsid w:val="00582FC8"/>
    <w:rsid w:val="005F01DC"/>
    <w:rsid w:val="007253FF"/>
    <w:rsid w:val="008420CE"/>
    <w:rsid w:val="009629F7"/>
    <w:rsid w:val="00B75A22"/>
    <w:rsid w:val="00C15962"/>
    <w:rsid w:val="00C61031"/>
    <w:rsid w:val="00D932A9"/>
    <w:rsid w:val="00DF5C2C"/>
    <w:rsid w:val="00E736FC"/>
    <w:rsid w:val="00F0352C"/>
    <w:rsid w:val="00F2387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6089"/>
    <w:pPr>
      <w:ind w:left="720"/>
      <w:contextualSpacing/>
    </w:pPr>
  </w:style>
  <w:style w:type="paragraph" w:styleId="En-tte">
    <w:name w:val="header"/>
    <w:basedOn w:val="Normal"/>
    <w:link w:val="En-tteCar"/>
    <w:uiPriority w:val="99"/>
    <w:unhideWhenUsed/>
    <w:rsid w:val="00086835"/>
    <w:pPr>
      <w:tabs>
        <w:tab w:val="center" w:pos="4536"/>
        <w:tab w:val="right" w:pos="9072"/>
      </w:tabs>
      <w:spacing w:after="0" w:line="240" w:lineRule="auto"/>
    </w:pPr>
  </w:style>
  <w:style w:type="character" w:customStyle="1" w:styleId="En-tteCar">
    <w:name w:val="En-tête Car"/>
    <w:basedOn w:val="Policepardfaut"/>
    <w:link w:val="En-tte"/>
    <w:uiPriority w:val="99"/>
    <w:rsid w:val="00086835"/>
  </w:style>
  <w:style w:type="paragraph" w:styleId="Pieddepage">
    <w:name w:val="footer"/>
    <w:basedOn w:val="Normal"/>
    <w:link w:val="PieddepageCar"/>
    <w:uiPriority w:val="99"/>
    <w:unhideWhenUsed/>
    <w:rsid w:val="00086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6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6089"/>
    <w:pPr>
      <w:ind w:left="720"/>
      <w:contextualSpacing/>
    </w:pPr>
  </w:style>
  <w:style w:type="paragraph" w:styleId="En-tte">
    <w:name w:val="header"/>
    <w:basedOn w:val="Normal"/>
    <w:link w:val="En-tteCar"/>
    <w:uiPriority w:val="99"/>
    <w:unhideWhenUsed/>
    <w:rsid w:val="00086835"/>
    <w:pPr>
      <w:tabs>
        <w:tab w:val="center" w:pos="4536"/>
        <w:tab w:val="right" w:pos="9072"/>
      </w:tabs>
      <w:spacing w:after="0" w:line="240" w:lineRule="auto"/>
    </w:pPr>
  </w:style>
  <w:style w:type="character" w:customStyle="1" w:styleId="En-tteCar">
    <w:name w:val="En-tête Car"/>
    <w:basedOn w:val="Policepardfaut"/>
    <w:link w:val="En-tte"/>
    <w:uiPriority w:val="99"/>
    <w:rsid w:val="00086835"/>
  </w:style>
  <w:style w:type="paragraph" w:styleId="Pieddepage">
    <w:name w:val="footer"/>
    <w:basedOn w:val="Normal"/>
    <w:link w:val="PieddepageCar"/>
    <w:uiPriority w:val="99"/>
    <w:unhideWhenUsed/>
    <w:rsid w:val="00086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68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6345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 nationale</dc:creator>
  <cp:lastModifiedBy>UPO</cp:lastModifiedBy>
  <cp:revision>7</cp:revision>
  <dcterms:created xsi:type="dcterms:W3CDTF">2016-06-01T16:53:00Z</dcterms:created>
  <dcterms:modified xsi:type="dcterms:W3CDTF">2017-06-20T11:45:00Z</dcterms:modified>
</cp:coreProperties>
</file>