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9F" w:rsidRDefault="005B269F" w:rsidP="005B269F">
      <w:pPr>
        <w:spacing w:after="0" w:line="240" w:lineRule="auto"/>
        <w:ind w:left="-321"/>
        <w:rPr>
          <w:rFonts w:ascii="Times New Roman" w:hAnsi="Times New Roman"/>
          <w:b/>
          <w:sz w:val="24"/>
          <w:szCs w:val="24"/>
        </w:rPr>
      </w:pPr>
      <w:r>
        <w:rPr>
          <w:rFonts w:ascii="Times New Roman" w:hAnsi="Times New Roman"/>
          <w:b/>
          <w:noProof/>
          <w:sz w:val="24"/>
          <w:szCs w:val="24"/>
        </w:rPr>
        <w:t xml:space="preserve">UNIVERSITE PRIVEE DE OUAGADOUGOU                          </w:t>
      </w:r>
      <w:r w:rsidR="00765805">
        <w:rPr>
          <w:rFonts w:ascii="Times New Roman" w:hAnsi="Times New Roman"/>
          <w:noProof/>
          <w:sz w:val="24"/>
          <w:szCs w:val="24"/>
        </w:rPr>
        <w:t>Année académique 2016-2017</w:t>
      </w:r>
      <w:r>
        <w:rPr>
          <w:rFonts w:ascii="Times New Roman" w:hAnsi="Times New Roman"/>
          <w:noProof/>
          <w:sz w:val="24"/>
          <w:szCs w:val="24"/>
        </w:rPr>
        <w:t xml:space="preserve">                                                 </w:t>
      </w:r>
    </w:p>
    <w:p w:rsidR="005B269F" w:rsidRDefault="005B269F" w:rsidP="005B269F">
      <w:pPr>
        <w:spacing w:after="0" w:line="240" w:lineRule="auto"/>
        <w:ind w:left="-321"/>
        <w:rPr>
          <w:rFonts w:ascii="Times New Roman" w:hAnsi="Times New Roman"/>
          <w:b/>
          <w:sz w:val="24"/>
          <w:szCs w:val="24"/>
        </w:rPr>
      </w:pPr>
      <w:r>
        <w:rPr>
          <w:rFonts w:ascii="Times New Roman" w:hAnsi="Times New Roman"/>
          <w:b/>
          <w:sz w:val="24"/>
          <w:szCs w:val="24"/>
        </w:rPr>
        <w:t>……………………………………………………</w:t>
      </w:r>
    </w:p>
    <w:p w:rsidR="005B269F" w:rsidRDefault="005B269F" w:rsidP="005B269F">
      <w:pPr>
        <w:spacing w:after="0" w:line="240" w:lineRule="auto"/>
        <w:ind w:left="-993"/>
        <w:rPr>
          <w:rFonts w:ascii="Times New Roman" w:hAnsi="Times New Roman"/>
          <w:b/>
          <w:noProof/>
          <w:sz w:val="24"/>
          <w:szCs w:val="24"/>
        </w:rPr>
      </w:pPr>
      <w:r>
        <w:rPr>
          <w:rFonts w:ascii="Times New Roman" w:hAnsi="Times New Roman"/>
          <w:b/>
          <w:sz w:val="24"/>
          <w:szCs w:val="24"/>
        </w:rPr>
        <w:t xml:space="preserve">              </w:t>
      </w:r>
      <w:r>
        <w:rPr>
          <w:rFonts w:ascii="Times New Roman" w:hAnsi="Times New Roman"/>
          <w:b/>
          <w:noProof/>
          <w:sz w:val="24"/>
          <w:szCs w:val="24"/>
        </w:rPr>
        <w:t>UFR/SCIENCES JURIDIQUES POLITIQUES</w:t>
      </w:r>
    </w:p>
    <w:p w:rsidR="005B269F" w:rsidRDefault="005B269F" w:rsidP="005B269F">
      <w:pPr>
        <w:spacing w:after="0" w:line="240" w:lineRule="auto"/>
        <w:ind w:left="-993"/>
        <w:rPr>
          <w:rFonts w:ascii="Times New Roman" w:hAnsi="Times New Roman"/>
          <w:b/>
          <w:sz w:val="24"/>
          <w:szCs w:val="24"/>
        </w:rPr>
      </w:pPr>
      <w:r>
        <w:rPr>
          <w:rFonts w:ascii="Times New Roman" w:hAnsi="Times New Roman"/>
          <w:b/>
          <w:noProof/>
          <w:sz w:val="24"/>
          <w:szCs w:val="24"/>
        </w:rPr>
        <w:t xml:space="preserve">                                ET  ADMINISTRATIVES</w:t>
      </w:r>
    </w:p>
    <w:p w:rsidR="005B269F" w:rsidRDefault="005B269F" w:rsidP="005B269F">
      <w:pPr>
        <w:spacing w:after="0" w:line="240" w:lineRule="auto"/>
        <w:ind w:left="-993"/>
        <w:rPr>
          <w:rFonts w:ascii="Times New Roman" w:hAnsi="Times New Roman"/>
          <w:b/>
          <w:noProof/>
          <w:sz w:val="24"/>
          <w:szCs w:val="24"/>
        </w:rPr>
      </w:pPr>
      <w:r>
        <w:rPr>
          <w:rFonts w:ascii="Times New Roman" w:hAnsi="Times New Roman"/>
          <w:b/>
          <w:noProof/>
          <w:sz w:val="24"/>
          <w:szCs w:val="24"/>
        </w:rPr>
        <w:t xml:space="preserve">                                     </w:t>
      </w:r>
    </w:p>
    <w:p w:rsidR="005B269F" w:rsidRDefault="005B269F" w:rsidP="005B269F">
      <w:pPr>
        <w:spacing w:after="0" w:line="240" w:lineRule="auto"/>
        <w:ind w:left="-993"/>
        <w:rPr>
          <w:rFonts w:ascii="Times New Roman" w:hAnsi="Times New Roman"/>
          <w:b/>
          <w:noProof/>
          <w:sz w:val="24"/>
          <w:szCs w:val="24"/>
        </w:rPr>
      </w:pPr>
    </w:p>
    <w:p w:rsidR="005B269F" w:rsidRDefault="005B269F" w:rsidP="005B269F">
      <w:pPr>
        <w:spacing w:after="0"/>
        <w:jc w:val="center"/>
        <w:rPr>
          <w:rFonts w:ascii="Times New Roman" w:hAnsi="Times New Roman"/>
          <w:b/>
          <w:noProof/>
          <w:sz w:val="24"/>
          <w:szCs w:val="24"/>
          <w:u w:val="single"/>
        </w:rPr>
      </w:pPr>
      <w:r>
        <w:rPr>
          <w:rFonts w:ascii="Times New Roman" w:hAnsi="Times New Roman"/>
          <w:b/>
          <w:noProof/>
          <w:sz w:val="24"/>
          <w:szCs w:val="24"/>
        </w:rPr>
        <w:t>TRAVAUX DIRIGES</w:t>
      </w:r>
    </w:p>
    <w:p w:rsidR="005B269F" w:rsidRDefault="005B269F" w:rsidP="005B269F">
      <w:pPr>
        <w:spacing w:after="0"/>
        <w:ind w:firstLine="708"/>
        <w:jc w:val="center"/>
        <w:rPr>
          <w:rFonts w:ascii="Times New Roman" w:hAnsi="Times New Roman"/>
          <w:b/>
          <w:sz w:val="24"/>
          <w:szCs w:val="24"/>
          <w:u w:val="single"/>
          <w:lang w:val="fr-CH"/>
        </w:rPr>
      </w:pPr>
      <w:r>
        <w:rPr>
          <w:rFonts w:ascii="Times New Roman" w:hAnsi="Times New Roman"/>
          <w:b/>
          <w:noProof/>
          <w:sz w:val="24"/>
          <w:szCs w:val="24"/>
        </w:rPr>
        <w:t xml:space="preserve">Matière : </w:t>
      </w:r>
      <w:r>
        <w:rPr>
          <w:rFonts w:ascii="Times New Roman" w:hAnsi="Times New Roman"/>
          <w:b/>
          <w:sz w:val="24"/>
          <w:szCs w:val="24"/>
          <w:u w:val="single"/>
          <w:lang w:val="fr-CH"/>
        </w:rPr>
        <w:t>DE DROIT INTERNATIONAL PUBLIC</w:t>
      </w:r>
    </w:p>
    <w:p w:rsidR="005B269F" w:rsidRDefault="005B269F" w:rsidP="005B269F">
      <w:pPr>
        <w:spacing w:after="0"/>
        <w:jc w:val="center"/>
        <w:rPr>
          <w:rFonts w:ascii="Times New Roman" w:hAnsi="Times New Roman"/>
          <w:b/>
          <w:noProof/>
          <w:sz w:val="24"/>
          <w:szCs w:val="24"/>
        </w:rPr>
      </w:pPr>
      <w:r>
        <w:rPr>
          <w:rFonts w:ascii="Times New Roman" w:hAnsi="Times New Roman"/>
          <w:b/>
          <w:noProof/>
          <w:sz w:val="24"/>
          <w:szCs w:val="24"/>
        </w:rPr>
        <w:t>Niveau : S3/L2/SJPA</w:t>
      </w:r>
    </w:p>
    <w:p w:rsidR="005B269F" w:rsidRDefault="005B269F" w:rsidP="005B269F">
      <w:pPr>
        <w:spacing w:after="0"/>
        <w:jc w:val="center"/>
        <w:rPr>
          <w:rFonts w:ascii="Times New Roman" w:hAnsi="Times New Roman"/>
          <w:b/>
          <w:noProof/>
          <w:sz w:val="24"/>
          <w:szCs w:val="24"/>
        </w:rPr>
      </w:pPr>
      <w:r>
        <w:rPr>
          <w:rFonts w:ascii="Times New Roman" w:hAnsi="Times New Roman"/>
          <w:b/>
          <w:noProof/>
          <w:sz w:val="24"/>
          <w:szCs w:val="24"/>
        </w:rPr>
        <w:t>Chargé du cours : M. Cyrile WILLY</w:t>
      </w:r>
    </w:p>
    <w:p w:rsidR="005B269F" w:rsidRPr="005B269F" w:rsidRDefault="005B269F" w:rsidP="005B269F">
      <w:pPr>
        <w:spacing w:after="0"/>
        <w:jc w:val="center"/>
        <w:rPr>
          <w:rFonts w:ascii="Times New Roman" w:hAnsi="Times New Roman"/>
          <w:b/>
          <w:sz w:val="20"/>
          <w:szCs w:val="20"/>
        </w:rPr>
      </w:pPr>
      <w:r w:rsidRPr="005B269F">
        <w:rPr>
          <w:rFonts w:ascii="Times New Roman" w:hAnsi="Times New Roman"/>
          <w:b/>
          <w:noProof/>
          <w:sz w:val="24"/>
          <w:szCs w:val="24"/>
        </w:rPr>
        <w:t xml:space="preserve">Chargé des TD : </w:t>
      </w:r>
      <w:r w:rsidRPr="005B269F">
        <w:rPr>
          <w:rFonts w:ascii="Times New Roman" w:hAnsi="Times New Roman" w:cs="Times New Roman"/>
          <w:b/>
        </w:rPr>
        <w:t>M. DABIRE T. Germain</w:t>
      </w:r>
    </w:p>
    <w:p w:rsidR="005B269F" w:rsidRDefault="005B269F">
      <w:pPr>
        <w:rPr>
          <w:rFonts w:ascii="Times New Roman" w:hAnsi="Times New Roman" w:cs="Times New Roman"/>
        </w:rPr>
      </w:pPr>
    </w:p>
    <w:p w:rsidR="0004273F" w:rsidRPr="005468AB" w:rsidRDefault="0004273F">
      <w:pPr>
        <w:rPr>
          <w:rFonts w:ascii="Times New Roman" w:hAnsi="Times New Roman" w:cs="Times New Roman"/>
        </w:rPr>
      </w:pPr>
      <w:r w:rsidRPr="005468AB">
        <w:rPr>
          <w:rFonts w:ascii="Times New Roman" w:hAnsi="Times New Roman" w:cs="Times New Roman"/>
        </w:rPr>
        <w:t>Suggestion de lecture :</w:t>
      </w:r>
    </w:p>
    <w:p w:rsidR="005468AB" w:rsidRPr="0064610C" w:rsidRDefault="005468AB" w:rsidP="005468AB">
      <w:pPr>
        <w:jc w:val="both"/>
        <w:rPr>
          <w:rFonts w:ascii="Times New Roman" w:hAnsi="Times New Roman" w:cs="Times New Roman"/>
        </w:rPr>
      </w:pPr>
      <w:r w:rsidRPr="00EF29DD">
        <w:rPr>
          <w:rFonts w:ascii="Times New Roman" w:hAnsi="Times New Roman" w:cs="Times New Roman"/>
        </w:rPr>
        <w:t>COMBACAU</w:t>
      </w:r>
      <w:r>
        <w:rPr>
          <w:rFonts w:ascii="Times New Roman" w:hAnsi="Times New Roman" w:cs="Times New Roman"/>
        </w:rPr>
        <w:t xml:space="preserve"> (J.) et </w:t>
      </w:r>
      <w:r w:rsidRPr="00EF29DD">
        <w:rPr>
          <w:rFonts w:ascii="Times New Roman" w:hAnsi="Times New Roman" w:cs="Times New Roman"/>
        </w:rPr>
        <w:t>SUR</w:t>
      </w:r>
      <w:r>
        <w:rPr>
          <w:rFonts w:ascii="Times New Roman" w:hAnsi="Times New Roman" w:cs="Times New Roman"/>
        </w:rPr>
        <w:t xml:space="preserve"> (S.)</w:t>
      </w:r>
      <w:r w:rsidRPr="00EF29DD">
        <w:rPr>
          <w:rFonts w:ascii="Times New Roman" w:hAnsi="Times New Roman" w:cs="Times New Roman"/>
        </w:rPr>
        <w:t xml:space="preserve">, </w:t>
      </w:r>
      <w:r w:rsidRPr="00EF29DD">
        <w:rPr>
          <w:rFonts w:ascii="Times New Roman" w:hAnsi="Times New Roman" w:cs="Times New Roman"/>
          <w:i/>
        </w:rPr>
        <w:t>Droit international public</w:t>
      </w:r>
      <w:r w:rsidRPr="00EF29DD">
        <w:rPr>
          <w:rFonts w:ascii="Times New Roman" w:hAnsi="Times New Roman" w:cs="Times New Roman"/>
        </w:rPr>
        <w:t>, Montchrestien, 3ème éd, 19</w:t>
      </w:r>
      <w:r>
        <w:rPr>
          <w:rFonts w:ascii="Times New Roman" w:hAnsi="Times New Roman" w:cs="Times New Roman"/>
        </w:rPr>
        <w:t xml:space="preserve">97, 799p,  </w:t>
      </w:r>
      <w:r w:rsidRPr="00EF29DD">
        <w:rPr>
          <w:rFonts w:ascii="Times New Roman" w:hAnsi="Times New Roman" w:cs="Times New Roman"/>
        </w:rPr>
        <w:t>PELLET</w:t>
      </w:r>
      <w:r>
        <w:rPr>
          <w:rFonts w:ascii="Times New Roman" w:hAnsi="Times New Roman" w:cs="Times New Roman"/>
        </w:rPr>
        <w:t xml:space="preserve"> (A.), </w:t>
      </w:r>
      <w:r w:rsidRPr="00EF29DD">
        <w:rPr>
          <w:rFonts w:ascii="Times New Roman" w:hAnsi="Times New Roman" w:cs="Times New Roman"/>
        </w:rPr>
        <w:t>DAILLIER</w:t>
      </w:r>
      <w:r>
        <w:rPr>
          <w:rFonts w:ascii="Times New Roman" w:hAnsi="Times New Roman" w:cs="Times New Roman"/>
        </w:rPr>
        <w:t xml:space="preserve"> (P.) et</w:t>
      </w:r>
      <w:r w:rsidRPr="00EF29DD">
        <w:rPr>
          <w:rFonts w:ascii="Times New Roman" w:hAnsi="Times New Roman" w:cs="Times New Roman"/>
        </w:rPr>
        <w:t xml:space="preserve"> FORTEAU</w:t>
      </w:r>
      <w:r>
        <w:rPr>
          <w:rFonts w:ascii="Times New Roman" w:hAnsi="Times New Roman" w:cs="Times New Roman"/>
        </w:rPr>
        <w:t xml:space="preserve"> (M.)</w:t>
      </w:r>
      <w:r w:rsidRPr="00EF29DD">
        <w:rPr>
          <w:rFonts w:ascii="Times New Roman" w:hAnsi="Times New Roman" w:cs="Times New Roman"/>
        </w:rPr>
        <w:t xml:space="preserve">, </w:t>
      </w:r>
      <w:r w:rsidRPr="00EF29DD">
        <w:rPr>
          <w:rFonts w:ascii="Times New Roman" w:hAnsi="Times New Roman" w:cs="Times New Roman"/>
          <w:i/>
        </w:rPr>
        <w:t>Droit international pu</w:t>
      </w:r>
      <w:r>
        <w:rPr>
          <w:rFonts w:ascii="Times New Roman" w:hAnsi="Times New Roman" w:cs="Times New Roman"/>
          <w:i/>
        </w:rPr>
        <w:t>blic</w:t>
      </w:r>
      <w:r w:rsidRPr="00EF29DD">
        <w:rPr>
          <w:rFonts w:ascii="Times New Roman" w:hAnsi="Times New Roman" w:cs="Times New Roman"/>
        </w:rPr>
        <w:t>., L</w:t>
      </w:r>
      <w:r>
        <w:rPr>
          <w:rFonts w:ascii="Times New Roman" w:hAnsi="Times New Roman" w:cs="Times New Roman"/>
        </w:rPr>
        <w:t>.</w:t>
      </w:r>
      <w:r w:rsidRPr="00EF29DD">
        <w:rPr>
          <w:rFonts w:ascii="Times New Roman" w:hAnsi="Times New Roman" w:cs="Times New Roman"/>
        </w:rPr>
        <w:t>G</w:t>
      </w:r>
      <w:r>
        <w:rPr>
          <w:rFonts w:ascii="Times New Roman" w:hAnsi="Times New Roman" w:cs="Times New Roman"/>
        </w:rPr>
        <w:t>.</w:t>
      </w:r>
      <w:r w:rsidRPr="00EF29DD">
        <w:rPr>
          <w:rFonts w:ascii="Times New Roman" w:hAnsi="Times New Roman" w:cs="Times New Roman"/>
        </w:rPr>
        <w:t>D</w:t>
      </w:r>
      <w:r>
        <w:rPr>
          <w:rFonts w:ascii="Times New Roman" w:hAnsi="Times New Roman" w:cs="Times New Roman"/>
        </w:rPr>
        <w:t>, 8è éd.,2009, 1722p</w:t>
      </w:r>
    </w:p>
    <w:p w:rsidR="005468AB" w:rsidRDefault="005468AB" w:rsidP="005468AB">
      <w:pPr>
        <w:jc w:val="both"/>
        <w:rPr>
          <w:rFonts w:ascii="Times New Roman" w:hAnsi="Times New Roman" w:cs="Times New Roman"/>
        </w:rPr>
      </w:pPr>
      <w:r w:rsidRPr="009A1B11">
        <w:rPr>
          <w:rFonts w:ascii="Times New Roman" w:hAnsi="Times New Roman" w:cs="Times New Roman"/>
        </w:rPr>
        <w:t>DE</w:t>
      </w:r>
      <w:r w:rsidRPr="00893FB9">
        <w:rPr>
          <w:rFonts w:ascii="Times New Roman" w:hAnsi="Times New Roman" w:cs="Times New Roman"/>
        </w:rPr>
        <w:t xml:space="preserve">VISSCHER (C.), </w:t>
      </w:r>
      <w:r w:rsidRPr="00893FB9">
        <w:rPr>
          <w:rFonts w:ascii="Times New Roman" w:hAnsi="Times New Roman" w:cs="Times New Roman"/>
          <w:i/>
        </w:rPr>
        <w:t>Théories et réalité en droit international public</w:t>
      </w:r>
      <w:r w:rsidRPr="00893FB9">
        <w:rPr>
          <w:rFonts w:ascii="Times New Roman" w:hAnsi="Times New Roman" w:cs="Times New Roman"/>
        </w:rPr>
        <w:t>, Pedone</w:t>
      </w:r>
      <w:r>
        <w:rPr>
          <w:rFonts w:ascii="Times New Roman" w:hAnsi="Times New Roman" w:cs="Times New Roman"/>
        </w:rPr>
        <w:t>, Paris, 1970, 468p</w:t>
      </w:r>
    </w:p>
    <w:p w:rsidR="005468AB" w:rsidRDefault="005468AB" w:rsidP="005468AB">
      <w:pPr>
        <w:jc w:val="both"/>
        <w:rPr>
          <w:rFonts w:ascii="Times New Roman" w:hAnsi="Times New Roman" w:cs="Times New Roman"/>
        </w:rPr>
      </w:pPr>
      <w:r w:rsidRPr="0064610C">
        <w:rPr>
          <w:rFonts w:ascii="Times New Roman" w:hAnsi="Times New Roman" w:cs="Times New Roman"/>
        </w:rPr>
        <w:t>DECAUX</w:t>
      </w:r>
      <w:r>
        <w:rPr>
          <w:rFonts w:ascii="Times New Roman" w:hAnsi="Times New Roman" w:cs="Times New Roman"/>
        </w:rPr>
        <w:t xml:space="preserve"> (E.), </w:t>
      </w:r>
      <w:r w:rsidRPr="0064610C">
        <w:rPr>
          <w:rFonts w:ascii="Times New Roman" w:hAnsi="Times New Roman" w:cs="Times New Roman"/>
          <w:i/>
        </w:rPr>
        <w:t>Droit international public</w:t>
      </w:r>
      <w:r w:rsidRPr="0064610C">
        <w:rPr>
          <w:rFonts w:ascii="Times New Roman" w:hAnsi="Times New Roman" w:cs="Times New Roman"/>
        </w:rPr>
        <w:t>, Paris, Dalloz, coll. « HyperCours », éd. de 2002</w:t>
      </w:r>
      <w:r>
        <w:rPr>
          <w:rFonts w:ascii="Times New Roman" w:hAnsi="Times New Roman" w:cs="Times New Roman"/>
        </w:rPr>
        <w:t>,</w:t>
      </w:r>
    </w:p>
    <w:p w:rsidR="005468AB" w:rsidRDefault="005468AB" w:rsidP="005468AB">
      <w:pPr>
        <w:jc w:val="both"/>
        <w:rPr>
          <w:rFonts w:ascii="Times New Roman" w:hAnsi="Times New Roman" w:cs="Times New Roman"/>
        </w:rPr>
      </w:pPr>
      <w:r w:rsidRPr="002949AA">
        <w:rPr>
          <w:rFonts w:ascii="Times New Roman" w:hAnsi="Times New Roman" w:cs="Times New Roman"/>
        </w:rPr>
        <w:t xml:space="preserve">DOMINICE </w:t>
      </w:r>
      <w:r>
        <w:rPr>
          <w:rFonts w:ascii="Times New Roman" w:hAnsi="Times New Roman" w:cs="Times New Roman"/>
        </w:rPr>
        <w:t xml:space="preserve">(C.), </w:t>
      </w:r>
      <w:r w:rsidRPr="002949AA">
        <w:rPr>
          <w:rFonts w:ascii="Times New Roman" w:hAnsi="Times New Roman" w:cs="Times New Roman"/>
        </w:rPr>
        <w:t xml:space="preserve">(dir.), </w:t>
      </w:r>
      <w:r w:rsidRPr="00FD631E">
        <w:rPr>
          <w:rFonts w:ascii="Times New Roman" w:hAnsi="Times New Roman" w:cs="Times New Roman"/>
          <w:i/>
        </w:rPr>
        <w:t>L’Ordre juridique international, entre tradition et innovation</w:t>
      </w:r>
      <w:r w:rsidRPr="00A73A9C">
        <w:rPr>
          <w:rFonts w:ascii="Times New Roman" w:hAnsi="Times New Roman" w:cs="Times New Roman"/>
        </w:rPr>
        <w:t>,</w:t>
      </w:r>
      <w:r w:rsidRPr="002949AA">
        <w:rPr>
          <w:rFonts w:ascii="Times New Roman" w:hAnsi="Times New Roman" w:cs="Times New Roman"/>
        </w:rPr>
        <w:t xml:space="preserve"> Recueil d’études, Par</w:t>
      </w:r>
      <w:r>
        <w:rPr>
          <w:rFonts w:ascii="Times New Roman" w:hAnsi="Times New Roman" w:cs="Times New Roman"/>
        </w:rPr>
        <w:t>is, PUF, 535p</w:t>
      </w:r>
    </w:p>
    <w:p w:rsidR="005468AB" w:rsidRDefault="005468AB" w:rsidP="005468AB">
      <w:pPr>
        <w:jc w:val="both"/>
        <w:rPr>
          <w:rFonts w:ascii="Times New Roman" w:hAnsi="Times New Roman"/>
        </w:rPr>
      </w:pPr>
      <w:r>
        <w:rPr>
          <w:rFonts w:ascii="Times New Roman" w:hAnsi="Times New Roman"/>
        </w:rPr>
        <w:t>DUPUY (R.J)</w:t>
      </w:r>
      <w:r w:rsidRPr="00806A09">
        <w:rPr>
          <w:rFonts w:ascii="Times New Roman" w:hAnsi="Times New Roman"/>
        </w:rPr>
        <w:t xml:space="preserve">, </w:t>
      </w:r>
      <w:r w:rsidRPr="00806A09">
        <w:rPr>
          <w:rFonts w:ascii="Times New Roman" w:hAnsi="Times New Roman"/>
          <w:i/>
        </w:rPr>
        <w:t>Dialectique du droit international. Souveraineté des E</w:t>
      </w:r>
      <w:r>
        <w:rPr>
          <w:rFonts w:ascii="Times New Roman" w:hAnsi="Times New Roman"/>
          <w:i/>
        </w:rPr>
        <w:t xml:space="preserve">tats, Communauté Internationale </w:t>
      </w:r>
      <w:r w:rsidRPr="00806A09">
        <w:rPr>
          <w:rFonts w:ascii="Times New Roman" w:hAnsi="Times New Roman"/>
          <w:i/>
        </w:rPr>
        <w:t>et Droits de l’Humanité,</w:t>
      </w:r>
      <w:r w:rsidRPr="00806A09">
        <w:rPr>
          <w:rFonts w:ascii="Times New Roman" w:hAnsi="Times New Roman"/>
        </w:rPr>
        <w:t xml:space="preserve"> Paris, Pedone, 1999</w:t>
      </w:r>
      <w:r>
        <w:rPr>
          <w:rFonts w:ascii="Times New Roman" w:hAnsi="Times New Roman"/>
        </w:rPr>
        <w:t>, 371p</w:t>
      </w:r>
    </w:p>
    <w:p w:rsidR="005468AB" w:rsidRDefault="005468AB" w:rsidP="005468AB">
      <w:pPr>
        <w:jc w:val="both"/>
      </w:pPr>
      <w:r>
        <w:rPr>
          <w:rFonts w:ascii="Times New Roman" w:hAnsi="Times New Roman" w:cs="Times New Roman"/>
        </w:rPr>
        <w:t>KAMBOU (B.G.),</w:t>
      </w:r>
      <w:r>
        <w:rPr>
          <w:rFonts w:ascii="Times New Roman" w:hAnsi="Times New Roman" w:cs="Times New Roman"/>
          <w:i/>
        </w:rPr>
        <w:t xml:space="preserve"> D</w:t>
      </w:r>
      <w:r w:rsidRPr="00873754">
        <w:rPr>
          <w:rFonts w:ascii="Times New Roman" w:hAnsi="Times New Roman" w:cs="Times New Roman"/>
          <w:i/>
        </w:rPr>
        <w:t>roit international public, tome 1 : les sources</w:t>
      </w:r>
      <w:r w:rsidRPr="00873754">
        <w:rPr>
          <w:rFonts w:ascii="Times New Roman" w:hAnsi="Times New Roman" w:cs="Times New Roman"/>
        </w:rPr>
        <w:t xml:space="preserve">, </w:t>
      </w:r>
      <w:r>
        <w:rPr>
          <w:rFonts w:ascii="Times New Roman" w:hAnsi="Times New Roman" w:cs="Times New Roman"/>
        </w:rPr>
        <w:t>C</w:t>
      </w:r>
      <w:r w:rsidRPr="003E0E3D">
        <w:rPr>
          <w:rFonts w:ascii="Times New Roman" w:hAnsi="Times New Roman" w:cs="Times New Roman"/>
        </w:rPr>
        <w:t>ours polycopié</w:t>
      </w:r>
      <w:r>
        <w:rPr>
          <w:rFonts w:ascii="Times New Roman" w:hAnsi="Times New Roman" w:cs="Times New Roman"/>
        </w:rPr>
        <w:t>, Université Ouaga2,</w:t>
      </w:r>
      <w:r w:rsidRPr="00873754">
        <w:rPr>
          <w:rFonts w:ascii="Times New Roman" w:hAnsi="Times New Roman" w:cs="Times New Roman"/>
        </w:rPr>
        <w:t xml:space="preserve"> éd. Maison de droit, 2011</w:t>
      </w:r>
    </w:p>
    <w:p w:rsidR="005468AB" w:rsidRDefault="005468AB" w:rsidP="005468AB">
      <w:pPr>
        <w:jc w:val="both"/>
        <w:rPr>
          <w:rFonts w:ascii="Times New Roman" w:hAnsi="Times New Roman" w:cs="Times New Roman"/>
        </w:rPr>
      </w:pPr>
      <w:r w:rsidRPr="00CE3F46">
        <w:rPr>
          <w:rFonts w:ascii="Times New Roman" w:hAnsi="Times New Roman" w:cs="Times New Roman"/>
        </w:rPr>
        <w:t xml:space="preserve">SALMON (J.), </w:t>
      </w:r>
      <w:r w:rsidRPr="00CE3F46">
        <w:rPr>
          <w:rFonts w:ascii="Times New Roman" w:hAnsi="Times New Roman" w:cs="Times New Roman"/>
          <w:i/>
        </w:rPr>
        <w:t>Dictionnaire de droit international public</w:t>
      </w:r>
      <w:r>
        <w:rPr>
          <w:rFonts w:ascii="Times New Roman" w:hAnsi="Times New Roman" w:cs="Times New Roman"/>
        </w:rPr>
        <w:t>, Bruxelles, Bruylant, 2001</w:t>
      </w:r>
    </w:p>
    <w:p w:rsidR="005468AB" w:rsidRDefault="005468AB" w:rsidP="005468AB">
      <w:pPr>
        <w:jc w:val="both"/>
        <w:rPr>
          <w:rFonts w:ascii="Times New Roman" w:hAnsi="Times New Roman" w:cs="Times New Roman"/>
          <w:sz w:val="24"/>
          <w:szCs w:val="24"/>
        </w:rPr>
      </w:pPr>
      <w:r w:rsidRPr="001F0A4C">
        <w:rPr>
          <w:rFonts w:ascii="Times New Roman" w:hAnsi="Times New Roman" w:cs="Times New Roman"/>
          <w:sz w:val="24"/>
          <w:szCs w:val="24"/>
        </w:rPr>
        <w:t xml:space="preserve">VIRALLY (M.), </w:t>
      </w:r>
      <w:r w:rsidRPr="001F0A4C">
        <w:rPr>
          <w:rFonts w:ascii="Times New Roman" w:hAnsi="Times New Roman" w:cs="Times New Roman"/>
          <w:i/>
          <w:sz w:val="24"/>
          <w:szCs w:val="24"/>
        </w:rPr>
        <w:t>Le Droit international en devenir</w:t>
      </w:r>
      <w:r w:rsidRPr="001F0A4C">
        <w:rPr>
          <w:rFonts w:ascii="Times New Roman" w:hAnsi="Times New Roman" w:cs="Times New Roman"/>
          <w:sz w:val="24"/>
          <w:szCs w:val="24"/>
        </w:rPr>
        <w:t>, collection publication de l’IHEI, Genève, Presse universitaires de France, Paris, 1990,</w:t>
      </w:r>
      <w:r>
        <w:rPr>
          <w:rFonts w:ascii="Times New Roman" w:hAnsi="Times New Roman" w:cs="Times New Roman"/>
          <w:sz w:val="24"/>
          <w:szCs w:val="24"/>
        </w:rPr>
        <w:t xml:space="preserve"> 504p.</w:t>
      </w:r>
    </w:p>
    <w:p w:rsidR="005468AB" w:rsidRDefault="005468AB" w:rsidP="005468AB">
      <w:pPr>
        <w:pStyle w:val="Notedebasdepage"/>
        <w:spacing w:line="276" w:lineRule="auto"/>
        <w:jc w:val="both"/>
        <w:rPr>
          <w:rFonts w:ascii="Times New Roman" w:hAnsi="Times New Roman" w:cs="Times New Roman"/>
          <w:sz w:val="22"/>
          <w:szCs w:val="22"/>
        </w:rPr>
      </w:pPr>
      <w:r w:rsidRPr="00A73A9C">
        <w:rPr>
          <w:rFonts w:ascii="Times New Roman" w:hAnsi="Times New Roman" w:cs="Times New Roman"/>
          <w:sz w:val="22"/>
          <w:szCs w:val="22"/>
        </w:rPr>
        <w:t xml:space="preserve">WEIL (P.), </w:t>
      </w:r>
      <w:r w:rsidRPr="00A73A9C">
        <w:rPr>
          <w:rFonts w:ascii="Times New Roman" w:hAnsi="Times New Roman" w:cs="Times New Roman"/>
          <w:i/>
          <w:sz w:val="22"/>
          <w:szCs w:val="22"/>
        </w:rPr>
        <w:t>Ecrits de droit international</w:t>
      </w:r>
      <w:r>
        <w:rPr>
          <w:rFonts w:ascii="Times New Roman" w:hAnsi="Times New Roman" w:cs="Times New Roman"/>
          <w:sz w:val="22"/>
          <w:szCs w:val="22"/>
        </w:rPr>
        <w:t>, Paris, PUF, 2000, 432p</w:t>
      </w:r>
    </w:p>
    <w:p w:rsidR="00FB781B" w:rsidRDefault="00FB781B" w:rsidP="005468AB">
      <w:pPr>
        <w:pStyle w:val="Notedebasdepage"/>
        <w:spacing w:line="276" w:lineRule="auto"/>
        <w:jc w:val="both"/>
        <w:rPr>
          <w:rFonts w:ascii="Times New Roman" w:hAnsi="Times New Roman" w:cs="Times New Roman"/>
          <w:sz w:val="22"/>
          <w:szCs w:val="22"/>
        </w:rPr>
      </w:pPr>
    </w:p>
    <w:p w:rsidR="00FB781B" w:rsidRDefault="00FB781B" w:rsidP="005468AB">
      <w:pPr>
        <w:pStyle w:val="Notedebasdepage"/>
        <w:spacing w:line="276" w:lineRule="auto"/>
        <w:jc w:val="both"/>
        <w:rPr>
          <w:rFonts w:ascii="Times New Roman" w:hAnsi="Times New Roman" w:cs="Times New Roman"/>
          <w:sz w:val="22"/>
          <w:szCs w:val="22"/>
        </w:rPr>
      </w:pPr>
    </w:p>
    <w:p w:rsidR="00FB781B" w:rsidRPr="009133BB" w:rsidRDefault="00FB781B" w:rsidP="00FB781B">
      <w:pPr>
        <w:rPr>
          <w:rFonts w:ascii="Times New Roman" w:hAnsi="Times New Roman" w:cs="Times New Roman"/>
          <w:b/>
          <w:u w:val="single"/>
        </w:rPr>
      </w:pPr>
      <w:r w:rsidRPr="009133BB">
        <w:rPr>
          <w:rFonts w:ascii="Times New Roman" w:hAnsi="Times New Roman" w:cs="Times New Roman"/>
          <w:b/>
          <w:u w:val="single"/>
        </w:rPr>
        <w:t>THEME 1 : LES SOURCES DU DROIT INTERNATIONAL </w:t>
      </w:r>
      <w:r w:rsidR="0083059D">
        <w:rPr>
          <w:rFonts w:ascii="Times New Roman" w:hAnsi="Times New Roman" w:cs="Times New Roman"/>
          <w:b/>
          <w:u w:val="single"/>
        </w:rPr>
        <w:t>(3</w:t>
      </w:r>
      <w:r w:rsidR="00B21140">
        <w:rPr>
          <w:rFonts w:ascii="Times New Roman" w:hAnsi="Times New Roman" w:cs="Times New Roman"/>
          <w:b/>
          <w:u w:val="single"/>
        </w:rPr>
        <w:t>h)</w:t>
      </w:r>
    </w:p>
    <w:p w:rsidR="00FB781B" w:rsidRPr="005468AB" w:rsidRDefault="00FB781B" w:rsidP="00FB781B">
      <w:pPr>
        <w:rPr>
          <w:rFonts w:ascii="Times New Roman" w:hAnsi="Times New Roman" w:cs="Times New Roman"/>
        </w:rPr>
      </w:pPr>
      <w:r w:rsidRPr="005468AB">
        <w:rPr>
          <w:rFonts w:ascii="Times New Roman" w:hAnsi="Times New Roman" w:cs="Times New Roman"/>
        </w:rPr>
        <w:t>1°) Commentaire de l’article : Les étudiant</w:t>
      </w:r>
      <w:r>
        <w:rPr>
          <w:rFonts w:ascii="Times New Roman" w:hAnsi="Times New Roman" w:cs="Times New Roman"/>
        </w:rPr>
        <w:t xml:space="preserve">s feront un commentaire </w:t>
      </w:r>
      <w:r w:rsidRPr="005468AB">
        <w:rPr>
          <w:rFonts w:ascii="Times New Roman" w:hAnsi="Times New Roman" w:cs="Times New Roman"/>
        </w:rPr>
        <w:t>de l’article 38 du statut de la CIJ (introduction+ plan détaillé) </w:t>
      </w:r>
    </w:p>
    <w:p w:rsidR="00FB781B" w:rsidRPr="005468AB" w:rsidRDefault="00FB781B" w:rsidP="00FB781B">
      <w:pPr>
        <w:rPr>
          <w:rFonts w:ascii="Times New Roman" w:hAnsi="Times New Roman" w:cs="Times New Roman"/>
        </w:rPr>
      </w:pPr>
      <w:r w:rsidRPr="005468AB">
        <w:rPr>
          <w:rFonts w:ascii="Times New Roman" w:hAnsi="Times New Roman" w:cs="Times New Roman"/>
        </w:rPr>
        <w:t>2°) Arrêt des activités armées au Nicaragua, Nicaragua c. Les Etats-Unis, 27 juin 1986, (fond)</w:t>
      </w:r>
      <w:r>
        <w:rPr>
          <w:rFonts w:ascii="Times New Roman" w:hAnsi="Times New Roman" w:cs="Times New Roman"/>
        </w:rPr>
        <w:t>.</w:t>
      </w:r>
    </w:p>
    <w:p w:rsidR="00FB781B" w:rsidRPr="005468AB" w:rsidRDefault="00FB781B" w:rsidP="00FB781B">
      <w:pPr>
        <w:rPr>
          <w:rFonts w:ascii="Times New Roman" w:hAnsi="Times New Roman" w:cs="Times New Roman"/>
        </w:rPr>
      </w:pPr>
      <w:r>
        <w:rPr>
          <w:rFonts w:ascii="Times New Roman" w:hAnsi="Times New Roman" w:cs="Times New Roman"/>
        </w:rPr>
        <w:t>a°)</w:t>
      </w:r>
      <w:r w:rsidRPr="005468AB">
        <w:rPr>
          <w:rFonts w:ascii="Times New Roman" w:hAnsi="Times New Roman" w:cs="Times New Roman"/>
        </w:rPr>
        <w:t xml:space="preserve"> Les étudiants mettront en lumière la technique utilisée par le juge international dans le choix du droit applicable dans ce litige.</w:t>
      </w:r>
    </w:p>
    <w:p w:rsidR="007E518F" w:rsidRPr="00FB781B" w:rsidRDefault="00FB781B">
      <w:pPr>
        <w:rPr>
          <w:rFonts w:ascii="Times New Roman" w:hAnsi="Times New Roman" w:cs="Times New Roman"/>
        </w:rPr>
      </w:pPr>
      <w:r w:rsidRPr="005468AB">
        <w:rPr>
          <w:rFonts w:ascii="Times New Roman" w:hAnsi="Times New Roman" w:cs="Times New Roman"/>
        </w:rPr>
        <w:t>b°) Ils tacheront à relever à parti</w:t>
      </w:r>
      <w:r>
        <w:rPr>
          <w:rFonts w:ascii="Times New Roman" w:hAnsi="Times New Roman" w:cs="Times New Roman"/>
        </w:rPr>
        <w:t>r de l’arrêt les liens existants</w:t>
      </w:r>
      <w:r w:rsidRPr="005468AB">
        <w:rPr>
          <w:rFonts w:ascii="Times New Roman" w:hAnsi="Times New Roman" w:cs="Times New Roman"/>
        </w:rPr>
        <w:t xml:space="preserve"> entre la coutume internationale et les traités en tant que sources principales du droit international.</w:t>
      </w:r>
      <w:bookmarkStart w:id="0" w:name="_GoBack"/>
      <w:bookmarkEnd w:id="0"/>
    </w:p>
    <w:p w:rsidR="007E518F" w:rsidRPr="009133BB" w:rsidRDefault="00FB781B">
      <w:pPr>
        <w:rPr>
          <w:rFonts w:ascii="Times New Roman" w:hAnsi="Times New Roman" w:cs="Times New Roman"/>
          <w:b/>
          <w:u w:val="single"/>
        </w:rPr>
      </w:pPr>
      <w:r w:rsidRPr="009133BB">
        <w:rPr>
          <w:rFonts w:ascii="Times New Roman" w:hAnsi="Times New Roman" w:cs="Times New Roman"/>
          <w:b/>
          <w:u w:val="single"/>
        </w:rPr>
        <w:lastRenderedPageBreak/>
        <w:t>THEME 2</w:t>
      </w:r>
      <w:r w:rsidR="005468AB" w:rsidRPr="009133BB">
        <w:rPr>
          <w:rFonts w:ascii="Times New Roman" w:hAnsi="Times New Roman" w:cs="Times New Roman"/>
          <w:b/>
          <w:u w:val="single"/>
        </w:rPr>
        <w:t> : LES SUJETS DE DROIT INTERNATIONAL</w:t>
      </w:r>
      <w:r w:rsidR="0083059D">
        <w:rPr>
          <w:rFonts w:ascii="Times New Roman" w:hAnsi="Times New Roman" w:cs="Times New Roman"/>
          <w:b/>
          <w:u w:val="single"/>
        </w:rPr>
        <w:t xml:space="preserve"> (3</w:t>
      </w:r>
      <w:r w:rsidR="00B21140">
        <w:rPr>
          <w:rFonts w:ascii="Times New Roman" w:hAnsi="Times New Roman" w:cs="Times New Roman"/>
          <w:b/>
          <w:u w:val="single"/>
        </w:rPr>
        <w:t>h)</w:t>
      </w:r>
    </w:p>
    <w:p w:rsidR="007E518F" w:rsidRPr="005468AB" w:rsidRDefault="0004273F" w:rsidP="00B86522">
      <w:pPr>
        <w:rPr>
          <w:rFonts w:ascii="Times New Roman" w:hAnsi="Times New Roman" w:cs="Times New Roman"/>
        </w:rPr>
      </w:pPr>
      <w:r w:rsidRPr="005468AB">
        <w:rPr>
          <w:rFonts w:ascii="Times New Roman" w:hAnsi="Times New Roman" w:cs="Times New Roman"/>
        </w:rPr>
        <w:t>1</w:t>
      </w:r>
      <w:r w:rsidR="00B86522" w:rsidRPr="005468AB">
        <w:rPr>
          <w:rFonts w:ascii="Times New Roman" w:hAnsi="Times New Roman" w:cs="Times New Roman"/>
        </w:rPr>
        <w:t xml:space="preserve">°) </w:t>
      </w:r>
      <w:r w:rsidR="007E518F" w:rsidRPr="005468AB">
        <w:rPr>
          <w:rFonts w:ascii="Times New Roman" w:hAnsi="Times New Roman" w:cs="Times New Roman"/>
        </w:rPr>
        <w:t>Dissertation : Le regard du droit international sur ses sujets au XXIème siècle.</w:t>
      </w:r>
    </w:p>
    <w:p w:rsidR="00B86522" w:rsidRPr="005468AB" w:rsidRDefault="0004273F" w:rsidP="00B86522">
      <w:pPr>
        <w:rPr>
          <w:rFonts w:ascii="Times New Roman" w:hAnsi="Times New Roman" w:cs="Times New Roman"/>
        </w:rPr>
      </w:pPr>
      <w:r w:rsidRPr="005468AB">
        <w:rPr>
          <w:rFonts w:ascii="Times New Roman" w:hAnsi="Times New Roman" w:cs="Times New Roman"/>
        </w:rPr>
        <w:t>2</w:t>
      </w:r>
      <w:r w:rsidR="00B86522" w:rsidRPr="005468AB">
        <w:rPr>
          <w:rFonts w:ascii="Times New Roman" w:hAnsi="Times New Roman" w:cs="Times New Roman"/>
        </w:rPr>
        <w:t xml:space="preserve">°) </w:t>
      </w:r>
      <w:r w:rsidRPr="005468AB">
        <w:rPr>
          <w:rFonts w:ascii="Times New Roman" w:hAnsi="Times New Roman" w:cs="Times New Roman"/>
        </w:rPr>
        <w:t xml:space="preserve">commentaire d’arrêt, CIJ, </w:t>
      </w:r>
      <w:r w:rsidRPr="005468AB">
        <w:rPr>
          <w:rFonts w:ascii="Times New Roman" w:hAnsi="Times New Roman" w:cs="Times New Roman"/>
          <w:i/>
        </w:rPr>
        <w:t>Conséquences juridiques sur les dommages subis par un agent des NU</w:t>
      </w:r>
      <w:r w:rsidRPr="005468AB">
        <w:rPr>
          <w:rFonts w:ascii="Times New Roman" w:hAnsi="Times New Roman" w:cs="Times New Roman"/>
        </w:rPr>
        <w:t>, avis consultatif, 11 avril 1949</w:t>
      </w:r>
    </w:p>
    <w:p w:rsidR="0004273F" w:rsidRPr="005468AB" w:rsidRDefault="0004273F" w:rsidP="00B86522">
      <w:pPr>
        <w:rPr>
          <w:rFonts w:ascii="Times New Roman" w:hAnsi="Times New Roman" w:cs="Times New Roman"/>
        </w:rPr>
      </w:pPr>
      <w:r w:rsidRPr="005468AB">
        <w:rPr>
          <w:rFonts w:ascii="Times New Roman" w:hAnsi="Times New Roman" w:cs="Times New Roman"/>
        </w:rPr>
        <w:t>Les étudiants tenteront, après avoir dégagé les critères d’accès au statut de sujet du droit international selon la Cour, de faire la différence substantielle entre l’OI et l’Etat.</w:t>
      </w:r>
    </w:p>
    <w:p w:rsidR="0004273F" w:rsidRPr="009133BB" w:rsidRDefault="005468AB">
      <w:pPr>
        <w:rPr>
          <w:rFonts w:ascii="Times New Roman" w:hAnsi="Times New Roman" w:cs="Times New Roman"/>
          <w:b/>
          <w:u w:val="single"/>
        </w:rPr>
      </w:pPr>
      <w:r w:rsidRPr="009133BB">
        <w:rPr>
          <w:rFonts w:ascii="Times New Roman" w:hAnsi="Times New Roman" w:cs="Times New Roman"/>
          <w:b/>
          <w:u w:val="single"/>
        </w:rPr>
        <w:t>THEME 3 : THEMES CHOISIS</w:t>
      </w:r>
      <w:r w:rsidR="0083059D">
        <w:rPr>
          <w:rFonts w:ascii="Times New Roman" w:hAnsi="Times New Roman" w:cs="Times New Roman"/>
          <w:b/>
          <w:u w:val="single"/>
        </w:rPr>
        <w:t xml:space="preserve"> (3</w:t>
      </w:r>
      <w:r w:rsidR="00B21140">
        <w:rPr>
          <w:rFonts w:ascii="Times New Roman" w:hAnsi="Times New Roman" w:cs="Times New Roman"/>
          <w:b/>
          <w:u w:val="single"/>
        </w:rPr>
        <w:t>h)</w:t>
      </w:r>
    </w:p>
    <w:p w:rsidR="0004273F" w:rsidRPr="005468AB" w:rsidRDefault="0004273F">
      <w:pPr>
        <w:rPr>
          <w:rFonts w:ascii="Times New Roman" w:hAnsi="Times New Roman" w:cs="Times New Roman"/>
        </w:rPr>
      </w:pPr>
      <w:r w:rsidRPr="005468AB">
        <w:rPr>
          <w:rFonts w:ascii="Times New Roman" w:hAnsi="Times New Roman" w:cs="Times New Roman"/>
        </w:rPr>
        <w:t>1°) La jurisprudentialisation du droit international</w:t>
      </w:r>
    </w:p>
    <w:p w:rsidR="0004273F" w:rsidRPr="005468AB" w:rsidRDefault="0004273F">
      <w:pPr>
        <w:rPr>
          <w:rFonts w:ascii="Times New Roman" w:hAnsi="Times New Roman" w:cs="Times New Roman"/>
        </w:rPr>
      </w:pPr>
      <w:r w:rsidRPr="005468AB">
        <w:rPr>
          <w:rFonts w:ascii="Times New Roman" w:hAnsi="Times New Roman" w:cs="Times New Roman"/>
        </w:rPr>
        <w:t>2°) Le traitement des conflits de normes en Droit international</w:t>
      </w:r>
    </w:p>
    <w:p w:rsidR="0004273F" w:rsidRDefault="0004273F">
      <w:pPr>
        <w:rPr>
          <w:rFonts w:ascii="Times New Roman" w:hAnsi="Times New Roman" w:cs="Times New Roman"/>
        </w:rPr>
      </w:pPr>
      <w:r w:rsidRPr="005468AB">
        <w:rPr>
          <w:rFonts w:ascii="Times New Roman" w:hAnsi="Times New Roman" w:cs="Times New Roman"/>
        </w:rPr>
        <w:t>3°) Le dialogue entre système de droit interne et système de droit international</w:t>
      </w:r>
    </w:p>
    <w:p w:rsidR="005468AB" w:rsidRDefault="005468AB">
      <w:pPr>
        <w:rPr>
          <w:rFonts w:ascii="Times New Roman" w:hAnsi="Times New Roman" w:cs="Times New Roman"/>
        </w:rPr>
      </w:pPr>
    </w:p>
    <w:p w:rsidR="005468AB" w:rsidRPr="005468AB" w:rsidRDefault="005468AB">
      <w:pPr>
        <w:rPr>
          <w:rFonts w:ascii="Times New Roman" w:hAnsi="Times New Roman" w:cs="Times New Roman"/>
        </w:rPr>
      </w:pPr>
      <w:r>
        <w:rPr>
          <w:rFonts w:ascii="Times New Roman" w:hAnsi="Times New Roman" w:cs="Times New Roman"/>
        </w:rPr>
        <w:t>Conclusion : La vision du droit international au XXIème siècle : entre mutation et stabilité !</w:t>
      </w:r>
    </w:p>
    <w:p w:rsidR="0004273F" w:rsidRDefault="0004273F">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pPr>
        <w:rPr>
          <w:rFonts w:ascii="Times New Roman" w:hAnsi="Times New Roman" w:cs="Times New Roman"/>
        </w:rPr>
      </w:pPr>
    </w:p>
    <w:p w:rsidR="00264378" w:rsidRDefault="00264378" w:rsidP="00264378">
      <w:pPr>
        <w:spacing w:before="100" w:beforeAutospacing="1" w:after="0" w:line="240" w:lineRule="auto"/>
        <w:ind w:left="-57" w:right="-57"/>
        <w:jc w:val="both"/>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lastRenderedPageBreak/>
        <w:t>Affaire des activités militaires et paramilitaires au Nicaragua</w:t>
      </w:r>
      <w:r>
        <w:rPr>
          <w:rFonts w:ascii="Times New Roman" w:eastAsia="Times New Roman" w:hAnsi="Times New Roman" w:cs="Times New Roman"/>
          <w:sz w:val="24"/>
          <w:szCs w:val="24"/>
          <w:lang w:eastAsia="fr-FR"/>
        </w:rPr>
        <w:t>, Nicaragua c. celui-ci, CIJ, arrêt du 27 juin 1986 (fond)</w:t>
      </w:r>
    </w:p>
    <w:p w:rsidR="00264378" w:rsidRDefault="00264378" w:rsidP="00264378">
      <w:pPr>
        <w:spacing w:before="100" w:beforeAutospacing="1" w:after="0" w:line="240" w:lineRule="auto"/>
        <w:ind w:left="-57" w:right="-57"/>
        <w:jc w:val="both"/>
        <w:rPr>
          <w:rFonts w:ascii="Times New Roman" w:eastAsia="Times New Roman" w:hAnsi="Times New Roman" w:cs="Times New Roman"/>
          <w:sz w:val="24"/>
          <w:szCs w:val="24"/>
          <w:lang w:eastAsia="fr-FR"/>
        </w:rPr>
      </w:pPr>
    </w:p>
    <w:p w:rsidR="00264378" w:rsidRDefault="00264378" w:rsidP="00571E94">
      <w:pPr>
        <w:spacing w:before="100" w:beforeAutospacing="1" w:after="0" w:line="360" w:lineRule="auto"/>
        <w:ind w:left="-57" w:right="-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présent différend la Cour, tout en n'exerçant sa compétence qu'à propos de l'application des règles coutumières relatives au non-recours à la force et à la non-intervention, ne saurait ignorer le fait que les Parties sont liées par ces règles aussi bien sur le plan conventionnel que sur le plan coutumier. En outre, aux engagements conventionnels des Parties concernant les règles en question s'ajoutent en l'espèce plusieurs reconnaissances de leur validité en droit international coutumier, qu'elles ont exprimées par d'autres moyens. C'est donc à la lumière de cet élément subjectif selon l'expression employée par la Cour en son arrêt de 1969 dans les affaires du Plateau continental de la mer du Nord (</w:t>
      </w:r>
      <w:r>
        <w:rPr>
          <w:rFonts w:ascii="Times New Roman" w:eastAsia="Times New Roman" w:hAnsi="Times New Roman" w:cs="Times New Roman"/>
          <w:i/>
          <w:sz w:val="24"/>
          <w:szCs w:val="24"/>
          <w:lang w:eastAsia="fr-FR"/>
        </w:rPr>
        <w:t>C. I.J. Recueil 1969, p. 44</w:t>
      </w:r>
      <w:r>
        <w:rPr>
          <w:rFonts w:ascii="Times New Roman" w:eastAsia="Times New Roman" w:hAnsi="Times New Roman" w:cs="Times New Roman"/>
          <w:sz w:val="24"/>
          <w:szCs w:val="24"/>
          <w:lang w:eastAsia="fr-FR"/>
        </w:rPr>
        <w:t xml:space="preserve">) que la Cour doit évaluer la pratique pertinente. 186. Il ne faut pas s'attendre à ce que l'application des règles en question soit parfaite dans la pratique étatique, en ce sens que les Etats s'abstiendraient, avec une entière constance, de recourir à la force ou à l'intervention dans les affaires intérieures d'autres Etats. La Cour ne pense pas que, pour qu'une règle soit coutumièrement établie, la pratique correspondante doive être rigoureusement conforme à cette règle. Il lui paraît suffisant, pour déduire l'existence de règles coutumières, que les </w:t>
      </w:r>
    </w:p>
    <w:p w:rsidR="00264378" w:rsidRPr="00571E94" w:rsidRDefault="00264378" w:rsidP="00571E94">
      <w:pPr>
        <w:spacing w:before="100" w:beforeAutospacing="1" w:after="0" w:line="360" w:lineRule="auto"/>
        <w:ind w:left="-57" w:right="-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Etats y conforment leur conduite d'une manière générale et qu’ils traitent eux-mêmes les "comportements non conformes à la règle en question comme des violations de celle-ci et non pas comme des manifestations de la reconnaissance d'une règle nouvelle. Si un Etat agit d'une manière apparemment inconciliable avec une règle reconnue, mais défend sa conduite en invoquant des exceptions ou justifications contenues dans la règle elle-même, il en résulte une confirmation plutôt qu'un affaiblissement de la règle, et cela que l'attitude de cet Etat puisse ou non se justifier en fait sur cette base. La Cour doit donc déterminer tout d'abord la substance des règles coutumières relatives à l'usage de la force dans les relations internationales applicables au différend qui lui est soumis. Les Etats-Unis ont soutenu que, s'agissant de la question essentielle de la licéité de l'emploi de la force entre les Etats, il existe une véritable identité entre les règles du droit international général et coutumier et les règles correspondantes de la Charte des Nations Unies. Pour eux, cette identité est même si complète que, comme il a été dit plus haut (paragraphe 173), elle constitue un argument tendant à interdire à la Cour d'appliquer ce droit coutumier parce que rien ne le distingue du droit conventionnel multilatéral qu'elle ne doit pas appliquer. Dans leur contre-mémoire sur la compétence et la recevabilité les Etats-Unis affirment que : L'article 2, paragraphe 4, de la Charte est le droit international </w:t>
      </w:r>
      <w:r>
        <w:rPr>
          <w:rFonts w:ascii="Times New Roman" w:eastAsia="Times New Roman" w:hAnsi="Times New Roman" w:cs="Times New Roman"/>
          <w:sz w:val="24"/>
          <w:szCs w:val="24"/>
          <w:lang w:eastAsia="fr-FR"/>
        </w:rPr>
        <w:lastRenderedPageBreak/>
        <w:t>général et coutumier. Ils citent avec approbation une observation de la Commission du droit international d'après laquelle la grande majorité des spécialistes du droit international soutiennent aujourd'hui, sans aucune hésitation, que le paragraphe 4 de l'article 2, ainsi que d'autres dispositions de la Charte énoncent avec toute l'autorité voulue le droit coutumier moderne concernant la menace ou l'emploi de la force (</w:t>
      </w:r>
      <w:r>
        <w:rPr>
          <w:rFonts w:ascii="Times New Roman" w:eastAsia="Times New Roman" w:hAnsi="Times New Roman" w:cs="Times New Roman"/>
          <w:i/>
          <w:sz w:val="24"/>
          <w:szCs w:val="24"/>
          <w:lang w:eastAsia="fr-FR"/>
        </w:rPr>
        <w:t>Annuaire de la Commission du droit international, 1966, vol. II, p. 269</w:t>
      </w:r>
      <w:r>
        <w:rPr>
          <w:rFonts w:ascii="Times New Roman" w:eastAsia="Times New Roman" w:hAnsi="Times New Roman" w:cs="Times New Roman"/>
          <w:sz w:val="24"/>
          <w:szCs w:val="24"/>
          <w:lang w:eastAsia="fr-FR"/>
        </w:rPr>
        <w:t>). Les Etats-Unis notent que le Nicaragua a repris ces idées à son compte, puisqu'un de ses conseils a affirmé qu'a en fait les publicistes considèrent généralement que l'article 2, paragraphe 4, de la Charte des Nations Unies reprend à cet égard les principes généraux existants du droit international. Et les Etats-Unis concluent en ces termes : En résumé, les dispositions de l'article 2, paragraphe 4, relatives à la légitimité de l'usage de la force sont le droit coutumiermoderne (</w:t>
      </w:r>
      <w:r>
        <w:rPr>
          <w:rFonts w:ascii="Times New Roman" w:eastAsia="Times New Roman" w:hAnsi="Times New Roman" w:cs="Times New Roman"/>
          <w:i/>
          <w:sz w:val="24"/>
          <w:szCs w:val="24"/>
          <w:lang w:eastAsia="fr-FR"/>
        </w:rPr>
        <w:t>Commission du droit international, loc. cit</w:t>
      </w:r>
      <w:r>
        <w:rPr>
          <w:rFonts w:ascii="Times New Roman" w:eastAsia="Times New Roman" w:hAnsi="Times New Roman" w:cs="Times New Roman"/>
          <w:sz w:val="24"/>
          <w:szCs w:val="24"/>
          <w:lang w:eastAsia="fr-FR"/>
        </w:rPr>
        <w:t>.) et reprennent les principes généraux existants du droit international (</w:t>
      </w:r>
      <w:r>
        <w:rPr>
          <w:rFonts w:ascii="Times New Roman" w:eastAsia="Times New Roman" w:hAnsi="Times New Roman" w:cs="Times New Roman"/>
          <w:i/>
          <w:sz w:val="24"/>
          <w:szCs w:val="24"/>
          <w:lang w:eastAsia="fr-FR"/>
        </w:rPr>
        <w:t>conseil du Nicaragua, audience du 25 avril 1984, matin, loc. cit</w:t>
      </w:r>
      <w:r>
        <w:rPr>
          <w:rFonts w:ascii="Times New Roman" w:eastAsia="Times New Roman" w:hAnsi="Times New Roman" w:cs="Times New Roman"/>
          <w:sz w:val="24"/>
          <w:szCs w:val="24"/>
          <w:lang w:eastAsia="fr-FR"/>
        </w:rPr>
        <w:t xml:space="preserve">.). Il n'existe pas d'autre droit international général et coutumier sur lequel le Nicaragua puisse fonder sa demande. En conséquence, il est inconcevable que la Cour puisse examiner le caractère licite d'un prétendu recours à la force armée sans se reporter à la principale source du droit international pertinent, l'article 2 paragraphe 4, de la Charte des Nations Unies. Quant au Nicaragua, tout au plus peut-on noter que, pour lui, dans certains cas il peut y avoir quelques différences de contenu et d'application entre la règle de droit coutumier et la règle conventionnelle. La Cour constate donc que les Parties sont d'accord pour considérer que les principes relatifs à l'emploi de la force qui figurent dans la Charte des Nations Unies correspondent, pour l'essentiel, à ceux qui se retrouvent dans le droit international coutumier. Les Parties sont donc d'avis, l'une et l'autre, que le principe fondamental en cette matière s'ex- prime par les termes mêmes utilisés à l'article 2, paragraphe 4, de la Charte. Elles acceptent par conséquent une obligation conventionnelle de s'abstenir, dans leurs relations internationales, de la menace ou de l'emploi de la force, soit contre l'intégrité territoriale ou l'indépendance politique de tout Etat, soit de toute autre matière incompatible avec les buts des Nations Unies. La Cour doit néanmoins s'assurer de l'existence, dans le droit international coutumier, d'une opinio juris relative à la valeur obligatoire en l'espèce le Nicaragua déclare que le principe de l'interdiction de l'emploi de la force consacré par l'article 2, paragraphe 4 de la Charte des Nations Unies est maintenant admis comme faisant partie du jus cogens. Dans leur contre-mémoire sur la compétence et la recevabilité, les Etats-Unis quant à eux ont cru devoir citer les commentateurs pour qui, ce principe constitue une norme universelle une règle de droit international universel un  principe de droit international universellement reconnu et un  principe de jus cogens. </w:t>
      </w:r>
    </w:p>
    <w:sectPr w:rsidR="00264378" w:rsidRPr="00571E94" w:rsidSect="00550F3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30" w:rsidRDefault="004F1730" w:rsidP="00571E94">
      <w:pPr>
        <w:spacing w:after="0" w:line="240" w:lineRule="auto"/>
      </w:pPr>
      <w:r>
        <w:separator/>
      </w:r>
    </w:p>
  </w:endnote>
  <w:endnote w:type="continuationSeparator" w:id="1">
    <w:p w:rsidR="004F1730" w:rsidRDefault="004F1730" w:rsidP="00571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282"/>
      <w:docPartObj>
        <w:docPartGallery w:val="Page Numbers (Bottom of Page)"/>
        <w:docPartUnique/>
      </w:docPartObj>
    </w:sdtPr>
    <w:sdtContent>
      <w:p w:rsidR="00571E94" w:rsidRDefault="00571E94">
        <w:pPr>
          <w:pStyle w:val="Pieddepage"/>
          <w:jc w:val="center"/>
        </w:pPr>
        <w:fldSimple w:instr=" PAGE   \* MERGEFORMAT ">
          <w:r>
            <w:rPr>
              <w:noProof/>
            </w:rPr>
            <w:t>4</w:t>
          </w:r>
        </w:fldSimple>
      </w:p>
    </w:sdtContent>
  </w:sdt>
  <w:p w:rsidR="00571E94" w:rsidRDefault="00571E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30" w:rsidRDefault="004F1730" w:rsidP="00571E94">
      <w:pPr>
        <w:spacing w:after="0" w:line="240" w:lineRule="auto"/>
      </w:pPr>
      <w:r>
        <w:separator/>
      </w:r>
    </w:p>
  </w:footnote>
  <w:footnote w:type="continuationSeparator" w:id="1">
    <w:p w:rsidR="004F1730" w:rsidRDefault="004F1730" w:rsidP="00571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64A0A"/>
    <w:multiLevelType w:val="hybridMultilevel"/>
    <w:tmpl w:val="7B060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E518F"/>
    <w:rsid w:val="0004273F"/>
    <w:rsid w:val="00116E0B"/>
    <w:rsid w:val="00150008"/>
    <w:rsid w:val="001D532C"/>
    <w:rsid w:val="001E08D5"/>
    <w:rsid w:val="00264378"/>
    <w:rsid w:val="00360C26"/>
    <w:rsid w:val="003E3640"/>
    <w:rsid w:val="003F7D45"/>
    <w:rsid w:val="004F1730"/>
    <w:rsid w:val="005468AB"/>
    <w:rsid w:val="00550F39"/>
    <w:rsid w:val="00571E94"/>
    <w:rsid w:val="005B269F"/>
    <w:rsid w:val="006570B4"/>
    <w:rsid w:val="00765805"/>
    <w:rsid w:val="007E518F"/>
    <w:rsid w:val="0083059D"/>
    <w:rsid w:val="009133BB"/>
    <w:rsid w:val="00932863"/>
    <w:rsid w:val="00A97D43"/>
    <w:rsid w:val="00B21140"/>
    <w:rsid w:val="00B86522"/>
    <w:rsid w:val="00FB3D5B"/>
    <w:rsid w:val="00FB78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6522"/>
    <w:pPr>
      <w:ind w:left="720"/>
      <w:contextualSpacing/>
    </w:pPr>
  </w:style>
  <w:style w:type="paragraph" w:styleId="Notedebasdepage">
    <w:name w:val="footnote text"/>
    <w:basedOn w:val="Normal"/>
    <w:link w:val="NotedebasdepageCar"/>
    <w:uiPriority w:val="99"/>
    <w:unhideWhenUsed/>
    <w:rsid w:val="005468AB"/>
    <w:pPr>
      <w:spacing w:after="0" w:line="240" w:lineRule="auto"/>
    </w:pPr>
    <w:rPr>
      <w:sz w:val="20"/>
      <w:szCs w:val="20"/>
    </w:rPr>
  </w:style>
  <w:style w:type="character" w:customStyle="1" w:styleId="NotedebasdepageCar">
    <w:name w:val="Note de bas de page Car"/>
    <w:basedOn w:val="Policepardfaut"/>
    <w:link w:val="Notedebasdepage"/>
    <w:uiPriority w:val="99"/>
    <w:rsid w:val="005468AB"/>
    <w:rPr>
      <w:sz w:val="20"/>
      <w:szCs w:val="20"/>
    </w:rPr>
  </w:style>
  <w:style w:type="paragraph" w:styleId="En-tte">
    <w:name w:val="header"/>
    <w:basedOn w:val="Normal"/>
    <w:link w:val="En-tteCar"/>
    <w:uiPriority w:val="99"/>
    <w:semiHidden/>
    <w:unhideWhenUsed/>
    <w:rsid w:val="00571E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1E94"/>
  </w:style>
  <w:style w:type="paragraph" w:styleId="Pieddepage">
    <w:name w:val="footer"/>
    <w:basedOn w:val="Normal"/>
    <w:link w:val="PieddepageCar"/>
    <w:uiPriority w:val="99"/>
    <w:unhideWhenUsed/>
    <w:rsid w:val="00571E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6522"/>
    <w:pPr>
      <w:ind w:left="720"/>
      <w:contextualSpacing/>
    </w:pPr>
  </w:style>
  <w:style w:type="paragraph" w:styleId="Notedebasdepage">
    <w:name w:val="footnote text"/>
    <w:basedOn w:val="Normal"/>
    <w:link w:val="NotedebasdepageCar"/>
    <w:uiPriority w:val="99"/>
    <w:unhideWhenUsed/>
    <w:rsid w:val="005468AB"/>
    <w:pPr>
      <w:spacing w:after="0" w:line="240" w:lineRule="auto"/>
    </w:pPr>
    <w:rPr>
      <w:sz w:val="20"/>
      <w:szCs w:val="20"/>
    </w:rPr>
  </w:style>
  <w:style w:type="character" w:customStyle="1" w:styleId="NotedebasdepageCar">
    <w:name w:val="Note de bas de page Car"/>
    <w:basedOn w:val="Policepardfaut"/>
    <w:link w:val="Notedebasdepage"/>
    <w:uiPriority w:val="99"/>
    <w:rsid w:val="005468AB"/>
    <w:rPr>
      <w:sz w:val="20"/>
      <w:szCs w:val="20"/>
    </w:rPr>
  </w:style>
</w:styles>
</file>

<file path=word/webSettings.xml><?xml version="1.0" encoding="utf-8"?>
<w:webSettings xmlns:r="http://schemas.openxmlformats.org/officeDocument/2006/relationships" xmlns:w="http://schemas.openxmlformats.org/wordprocessingml/2006/main">
  <w:divs>
    <w:div w:id="1416508856">
      <w:bodyDiv w:val="1"/>
      <w:marLeft w:val="0"/>
      <w:marRight w:val="0"/>
      <w:marTop w:val="0"/>
      <w:marBottom w:val="0"/>
      <w:divBdr>
        <w:top w:val="none" w:sz="0" w:space="0" w:color="auto"/>
        <w:left w:val="none" w:sz="0" w:space="0" w:color="auto"/>
        <w:bottom w:val="none" w:sz="0" w:space="0" w:color="auto"/>
        <w:right w:val="none" w:sz="0" w:space="0" w:color="auto"/>
      </w:divBdr>
    </w:div>
    <w:div w:id="17942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1387</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C50 Slim</dc:creator>
  <cp:lastModifiedBy>UPO</cp:lastModifiedBy>
  <cp:revision>14</cp:revision>
  <cp:lastPrinted>2016-11-08T16:09:00Z</cp:lastPrinted>
  <dcterms:created xsi:type="dcterms:W3CDTF">2016-10-27T10:18:00Z</dcterms:created>
  <dcterms:modified xsi:type="dcterms:W3CDTF">2016-11-08T16:09:00Z</dcterms:modified>
</cp:coreProperties>
</file>